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DD7B" w14:textId="6103E435" w:rsidR="007F7FD3" w:rsidRPr="006706F3" w:rsidRDefault="00B777B4" w:rsidP="00F35D7D">
      <w:pPr>
        <w:pStyle w:val="Normal1"/>
        <w:spacing w:after="160" w:line="240" w:lineRule="auto"/>
        <w:jc w:val="both"/>
        <w:rPr>
          <w:rFonts w:ascii="Tahoma" w:eastAsia="Times New Roman" w:hAnsi="Tahoma" w:cs="Tahoma"/>
          <w:bCs/>
          <w:sz w:val="24"/>
          <w:szCs w:val="24"/>
        </w:rPr>
      </w:pPr>
      <w:bookmarkStart w:id="0" w:name="_Hlk74584315"/>
      <w:r w:rsidRPr="006706F3">
        <w:rPr>
          <w:rFonts w:ascii="Tahoma" w:eastAsia="Times New Roman" w:hAnsi="Tahoma" w:cs="Tahoma"/>
          <w:bCs/>
          <w:sz w:val="24"/>
          <w:szCs w:val="24"/>
        </w:rPr>
        <w:t>Redevance minière</w:t>
      </w:r>
      <w:r w:rsidR="00B25B68" w:rsidRPr="006706F3">
        <w:rPr>
          <w:rFonts w:ascii="Tahoma" w:eastAsia="Times New Roman" w:hAnsi="Tahoma" w:cs="Tahoma"/>
          <w:bCs/>
          <w:sz w:val="24"/>
          <w:szCs w:val="24"/>
        </w:rPr>
        <w:t xml:space="preserve"> en RDC</w:t>
      </w:r>
      <w:r w:rsidRPr="006706F3">
        <w:rPr>
          <w:rFonts w:ascii="Tahoma" w:eastAsia="Times New Roman" w:hAnsi="Tahoma" w:cs="Tahoma"/>
          <w:bCs/>
          <w:sz w:val="24"/>
          <w:szCs w:val="24"/>
        </w:rPr>
        <w:t xml:space="preserve">: </w:t>
      </w:r>
      <w:r w:rsidR="00B25B68" w:rsidRPr="006706F3">
        <w:rPr>
          <w:rFonts w:ascii="Tahoma" w:eastAsia="Times New Roman" w:hAnsi="Tahoma" w:cs="Tahoma"/>
          <w:bCs/>
          <w:sz w:val="24"/>
          <w:szCs w:val="24"/>
        </w:rPr>
        <w:t xml:space="preserve">la gestion laisse à désirer dans les </w:t>
      </w:r>
      <w:r w:rsidR="00F35D7D" w:rsidRPr="006706F3">
        <w:rPr>
          <w:rFonts w:ascii="Tahoma" w:eastAsia="Times New Roman" w:hAnsi="Tahoma" w:cs="Tahoma"/>
          <w:bCs/>
          <w:sz w:val="24"/>
          <w:szCs w:val="24"/>
        </w:rPr>
        <w:t>‘entités territoriales décentralisées’</w:t>
      </w:r>
      <w:r w:rsidR="00B25B68" w:rsidRPr="006706F3">
        <w:rPr>
          <w:rFonts w:ascii="Tahoma" w:eastAsia="Times New Roman" w:hAnsi="Tahoma" w:cs="Tahoma"/>
          <w:bCs/>
          <w:sz w:val="24"/>
          <w:szCs w:val="24"/>
        </w:rPr>
        <w:t xml:space="preserve"> du </w:t>
      </w:r>
      <w:r w:rsidR="00F35D7D" w:rsidRPr="006706F3">
        <w:rPr>
          <w:rFonts w:ascii="Tahoma" w:eastAsia="Times New Roman" w:hAnsi="Tahoma" w:cs="Tahoma"/>
          <w:bCs/>
          <w:sz w:val="24"/>
          <w:szCs w:val="24"/>
        </w:rPr>
        <w:t>G</w:t>
      </w:r>
      <w:r w:rsidR="00B25B68" w:rsidRPr="006706F3">
        <w:rPr>
          <w:rFonts w:ascii="Tahoma" w:eastAsia="Times New Roman" w:hAnsi="Tahoma" w:cs="Tahoma"/>
          <w:bCs/>
          <w:sz w:val="24"/>
          <w:szCs w:val="24"/>
        </w:rPr>
        <w:t>rand-Katanga</w:t>
      </w:r>
      <w:r w:rsidR="00F35D7D" w:rsidRPr="006706F3">
        <w:rPr>
          <w:rFonts w:ascii="Tahoma" w:eastAsia="Times New Roman" w:hAnsi="Tahoma" w:cs="Tahoma"/>
          <w:bCs/>
          <w:sz w:val="24"/>
          <w:szCs w:val="24"/>
        </w:rPr>
        <w:t xml:space="preserve"> (</w:t>
      </w:r>
      <w:proofErr w:type="spellStart"/>
      <w:r w:rsidR="00F35D7D" w:rsidRPr="006706F3">
        <w:rPr>
          <w:rFonts w:ascii="Tahoma" w:eastAsia="Times New Roman" w:hAnsi="Tahoma" w:cs="Tahoma"/>
          <w:bCs/>
          <w:sz w:val="24"/>
          <w:szCs w:val="24"/>
        </w:rPr>
        <w:t>CongoForum</w:t>
      </w:r>
      <w:proofErr w:type="spellEnd"/>
      <w:r w:rsidR="00F35D7D" w:rsidRPr="006706F3">
        <w:rPr>
          <w:rFonts w:ascii="Tahoma" w:eastAsia="Times New Roman" w:hAnsi="Tahoma" w:cs="Tahoma"/>
          <w:bCs/>
          <w:sz w:val="24"/>
          <w:szCs w:val="24"/>
        </w:rPr>
        <w:t>)</w:t>
      </w:r>
    </w:p>
    <w:p w14:paraId="6E927E0A" w14:textId="16DD6A88" w:rsidR="007F7FD3" w:rsidRPr="006706F3" w:rsidRDefault="00F35D7D" w:rsidP="00F35D7D">
      <w:pPr>
        <w:pStyle w:val="Normal1"/>
        <w:spacing w:after="160" w:line="240" w:lineRule="auto"/>
        <w:jc w:val="both"/>
        <w:rPr>
          <w:rFonts w:ascii="Tahoma" w:eastAsia="Times New Roman" w:hAnsi="Tahoma" w:cs="Tahoma"/>
          <w:bCs/>
          <w:sz w:val="24"/>
          <w:szCs w:val="24"/>
        </w:rPr>
      </w:pPr>
      <w:r w:rsidRPr="006706F3">
        <w:rPr>
          <w:rFonts w:ascii="Tahoma" w:eastAsia="Times New Roman" w:hAnsi="Tahoma" w:cs="Tahoma"/>
          <w:bCs/>
          <w:sz w:val="24"/>
          <w:szCs w:val="24"/>
        </w:rPr>
        <w:t xml:space="preserve">LUBUMBASHI – </w:t>
      </w:r>
      <w:r w:rsidR="00B777B4" w:rsidRPr="006706F3">
        <w:rPr>
          <w:rFonts w:ascii="Tahoma" w:eastAsia="Times New Roman" w:hAnsi="Tahoma" w:cs="Tahoma"/>
          <w:bCs/>
          <w:sz w:val="24"/>
          <w:szCs w:val="24"/>
        </w:rPr>
        <w:t>La redevance minière fait sans doute le bonheur des Entités territoriales décentralisées (ETD) qui abrit</w:t>
      </w:r>
      <w:r w:rsidR="00B25B68" w:rsidRPr="006706F3">
        <w:rPr>
          <w:rFonts w:ascii="Tahoma" w:eastAsia="Times New Roman" w:hAnsi="Tahoma" w:cs="Tahoma"/>
          <w:bCs/>
          <w:sz w:val="24"/>
          <w:szCs w:val="24"/>
        </w:rPr>
        <w:t>ent des entreprises minières exploita</w:t>
      </w:r>
      <w:r w:rsidR="00B777B4" w:rsidRPr="006706F3">
        <w:rPr>
          <w:rFonts w:ascii="Tahoma" w:eastAsia="Times New Roman" w:hAnsi="Tahoma" w:cs="Tahoma"/>
          <w:bCs/>
          <w:sz w:val="24"/>
          <w:szCs w:val="24"/>
        </w:rPr>
        <w:t>nt cuivre et cobalt dans l’ancien Katanga. C’est une innovation de la réforme de 2018 du code minier de 2002. Seulement, malgré les améliorations qu’apporte cette loi, la transparence dans la gestion des fonds de ce précieux sésame pose problème alors que cette redevance suscite toutes les convoitises. De nombreux citoyens lambda ignorent jusqu’à l’existence de cette redevance et à l’affectation des fonds. Enquête au cœur du Katanga profond.</w:t>
      </w:r>
    </w:p>
    <w:p w14:paraId="60B10E3D" w14:textId="77777777" w:rsidR="007F7FD3" w:rsidRPr="00F35D7D" w:rsidRDefault="00B777B4" w:rsidP="00F35D7D">
      <w:pPr>
        <w:pStyle w:val="Normal1"/>
        <w:spacing w:after="160" w:line="240" w:lineRule="auto"/>
        <w:jc w:val="both"/>
        <w:rPr>
          <w:rFonts w:ascii="Tahoma" w:eastAsia="Times New Roman" w:hAnsi="Tahoma" w:cs="Tahoma"/>
          <w:sz w:val="24"/>
          <w:szCs w:val="24"/>
        </w:rPr>
      </w:pPr>
      <w:r w:rsidRPr="00F35D7D">
        <w:rPr>
          <w:rFonts w:ascii="Tahoma" w:eastAsia="Times New Roman" w:hAnsi="Tahoma" w:cs="Tahoma"/>
          <w:sz w:val="24"/>
          <w:szCs w:val="24"/>
        </w:rPr>
        <w:t xml:space="preserve">Situé à une centaine de mètres de </w:t>
      </w:r>
      <w:r w:rsidR="00FF0EBC" w:rsidRPr="00F35D7D">
        <w:rPr>
          <w:rFonts w:ascii="Tahoma" w:eastAsia="Times New Roman" w:hAnsi="Tahoma" w:cs="Tahoma"/>
          <w:sz w:val="24"/>
          <w:szCs w:val="24"/>
        </w:rPr>
        <w:t>l’avenue des</w:t>
      </w:r>
      <w:r w:rsidRPr="00F35D7D">
        <w:rPr>
          <w:rFonts w:ascii="Tahoma" w:eastAsia="Times New Roman" w:hAnsi="Tahoma" w:cs="Tahoma"/>
          <w:sz w:val="24"/>
          <w:szCs w:val="24"/>
        </w:rPr>
        <w:t xml:space="preserve"> Plaine</w:t>
      </w:r>
      <w:r w:rsidR="00FF0EBC" w:rsidRPr="00F35D7D">
        <w:rPr>
          <w:rFonts w:ascii="Tahoma" w:eastAsia="Times New Roman" w:hAnsi="Tahoma" w:cs="Tahoma"/>
          <w:sz w:val="24"/>
          <w:szCs w:val="24"/>
        </w:rPr>
        <w:t>s</w:t>
      </w:r>
      <w:r w:rsidRPr="00F35D7D">
        <w:rPr>
          <w:rFonts w:ascii="Tahoma" w:eastAsia="Times New Roman" w:hAnsi="Tahoma" w:cs="Tahoma"/>
          <w:sz w:val="24"/>
          <w:szCs w:val="24"/>
        </w:rPr>
        <w:t>, le bureau de la commune de Kampemba (</w:t>
      </w:r>
      <w:r w:rsidR="000D35F7" w:rsidRPr="00F35D7D">
        <w:rPr>
          <w:rFonts w:ascii="Tahoma" w:eastAsia="Times New Roman" w:hAnsi="Tahoma" w:cs="Tahoma"/>
          <w:sz w:val="24"/>
          <w:szCs w:val="24"/>
        </w:rPr>
        <w:t xml:space="preserve">à </w:t>
      </w:r>
      <w:r w:rsidRPr="00F35D7D">
        <w:rPr>
          <w:rFonts w:ascii="Tahoma" w:eastAsia="Times New Roman" w:hAnsi="Tahoma" w:cs="Tahoma"/>
          <w:sz w:val="24"/>
          <w:szCs w:val="24"/>
        </w:rPr>
        <w:t xml:space="preserve">Lubumbashi) est plus remarquable que jamais. Cette bâtisse à </w:t>
      </w:r>
      <w:r w:rsidR="000D35F7" w:rsidRPr="00F35D7D">
        <w:rPr>
          <w:rFonts w:ascii="Tahoma" w:eastAsia="Times New Roman" w:hAnsi="Tahoma" w:cs="Tahoma"/>
          <w:sz w:val="24"/>
          <w:szCs w:val="24"/>
        </w:rPr>
        <w:t xml:space="preserve">étage unique, entourée d’anciens </w:t>
      </w:r>
      <w:r w:rsidRPr="00F35D7D">
        <w:rPr>
          <w:rFonts w:ascii="Tahoma" w:eastAsia="Times New Roman" w:hAnsi="Tahoma" w:cs="Tahoma"/>
          <w:sz w:val="24"/>
          <w:szCs w:val="24"/>
        </w:rPr>
        <w:t xml:space="preserve">bâtiments administratifs de l’entité, a subi d’importantes rénovations grâce à la redevance minière que paie l’entreprise minière </w:t>
      </w:r>
      <w:hyperlink r:id="rId4" w:history="1">
        <w:proofErr w:type="spellStart"/>
        <w:r w:rsidRPr="00F35D7D">
          <w:rPr>
            <w:rStyle w:val="Hyperlink"/>
            <w:rFonts w:ascii="Tahoma" w:eastAsia="Times New Roman" w:hAnsi="Tahoma" w:cs="Tahoma"/>
            <w:color w:val="auto"/>
            <w:sz w:val="24"/>
            <w:szCs w:val="24"/>
          </w:rPr>
          <w:t>Chemaf</w:t>
        </w:r>
        <w:proofErr w:type="spellEnd"/>
      </w:hyperlink>
      <w:r w:rsidRPr="00F35D7D">
        <w:rPr>
          <w:rFonts w:ascii="Tahoma" w:eastAsia="Times New Roman" w:hAnsi="Tahoma" w:cs="Tahoma"/>
          <w:sz w:val="24"/>
          <w:szCs w:val="24"/>
        </w:rPr>
        <w:t xml:space="preserve"> (Chemical of </w:t>
      </w:r>
      <w:proofErr w:type="spellStart"/>
      <w:r w:rsidRPr="00F35D7D">
        <w:rPr>
          <w:rFonts w:ascii="Tahoma" w:eastAsia="Times New Roman" w:hAnsi="Tahoma" w:cs="Tahoma"/>
          <w:sz w:val="24"/>
          <w:szCs w:val="24"/>
        </w:rPr>
        <w:t>Africa</w:t>
      </w:r>
      <w:proofErr w:type="spellEnd"/>
      <w:r w:rsidRPr="00F35D7D">
        <w:rPr>
          <w:rFonts w:ascii="Tahoma" w:eastAsia="Times New Roman" w:hAnsi="Tahoma" w:cs="Tahoma"/>
          <w:sz w:val="24"/>
          <w:szCs w:val="24"/>
        </w:rPr>
        <w:t xml:space="preserve">) que dirige l’Indien </w:t>
      </w:r>
      <w:proofErr w:type="spellStart"/>
      <w:r w:rsidRPr="00F35D7D">
        <w:rPr>
          <w:rFonts w:ascii="Tahoma" w:eastAsia="Times New Roman" w:hAnsi="Tahoma" w:cs="Tahoma"/>
          <w:sz w:val="24"/>
          <w:szCs w:val="24"/>
        </w:rPr>
        <w:t>Shiraz</w:t>
      </w:r>
      <w:proofErr w:type="spellEnd"/>
      <w:r w:rsidRPr="00F35D7D">
        <w:rPr>
          <w:rFonts w:ascii="Tahoma" w:eastAsia="Times New Roman" w:hAnsi="Tahoma" w:cs="Tahoma"/>
          <w:sz w:val="24"/>
          <w:szCs w:val="24"/>
        </w:rPr>
        <w:t xml:space="preserve"> </w:t>
      </w:r>
      <w:proofErr w:type="spellStart"/>
      <w:r w:rsidRPr="00F35D7D">
        <w:rPr>
          <w:rFonts w:ascii="Tahoma" w:eastAsia="Times New Roman" w:hAnsi="Tahoma" w:cs="Tahoma"/>
          <w:sz w:val="24"/>
          <w:szCs w:val="24"/>
        </w:rPr>
        <w:t>Virji</w:t>
      </w:r>
      <w:proofErr w:type="spellEnd"/>
      <w:r w:rsidRPr="00F35D7D">
        <w:rPr>
          <w:rFonts w:ascii="Tahoma" w:eastAsia="Times New Roman" w:hAnsi="Tahoma" w:cs="Tahoma"/>
          <w:sz w:val="24"/>
          <w:szCs w:val="24"/>
        </w:rPr>
        <w:t>.</w:t>
      </w:r>
    </w:p>
    <w:p w14:paraId="037C1EF1" w14:textId="77777777" w:rsidR="007F7FD3" w:rsidRPr="006706F3" w:rsidRDefault="00B777B4" w:rsidP="00F35D7D">
      <w:pPr>
        <w:pStyle w:val="Normal1"/>
        <w:spacing w:after="160" w:line="240" w:lineRule="auto"/>
        <w:jc w:val="both"/>
        <w:rPr>
          <w:rFonts w:ascii="Tahoma" w:eastAsia="Times New Roman" w:hAnsi="Tahoma" w:cs="Tahoma"/>
          <w:sz w:val="24"/>
          <w:szCs w:val="24"/>
        </w:rPr>
      </w:pPr>
      <w:r w:rsidRPr="006706F3">
        <w:rPr>
          <w:rFonts w:ascii="Tahoma" w:eastAsia="Times New Roman" w:hAnsi="Tahoma" w:cs="Tahoma"/>
          <w:sz w:val="24"/>
          <w:szCs w:val="24"/>
        </w:rPr>
        <w:t xml:space="preserve">Avec l’argent qu’il reçoit, le bourgmestre Eric </w:t>
      </w:r>
      <w:proofErr w:type="spellStart"/>
      <w:r w:rsidRPr="006706F3">
        <w:rPr>
          <w:rFonts w:ascii="Tahoma" w:eastAsia="Times New Roman" w:hAnsi="Tahoma" w:cs="Tahoma"/>
          <w:sz w:val="24"/>
          <w:szCs w:val="24"/>
        </w:rPr>
        <w:t>Lwamba</w:t>
      </w:r>
      <w:proofErr w:type="spellEnd"/>
      <w:r w:rsidRPr="006706F3">
        <w:rPr>
          <w:rFonts w:ascii="Tahoma" w:eastAsia="Times New Roman" w:hAnsi="Tahoma" w:cs="Tahoma"/>
          <w:sz w:val="24"/>
          <w:szCs w:val="24"/>
        </w:rPr>
        <w:t xml:space="preserve"> montre fièrement à la ville de Lubumbashi ses réalisations: véhicules pour l’évacuation des ordures, véhicules</w:t>
      </w:r>
      <w:r w:rsidR="000D35F7" w:rsidRPr="006706F3">
        <w:rPr>
          <w:rFonts w:ascii="Tahoma" w:eastAsia="Times New Roman" w:hAnsi="Tahoma" w:cs="Tahoma"/>
          <w:sz w:val="24"/>
          <w:szCs w:val="24"/>
        </w:rPr>
        <w:t xml:space="preserve"> et bureaux en containers</w:t>
      </w:r>
      <w:r w:rsidRPr="006706F3">
        <w:rPr>
          <w:rFonts w:ascii="Tahoma" w:eastAsia="Times New Roman" w:hAnsi="Tahoma" w:cs="Tahoma"/>
          <w:sz w:val="24"/>
          <w:szCs w:val="24"/>
        </w:rPr>
        <w:t xml:space="preserve"> pour la police municipale, tous frappés de la mention « commune de Kampemba ». Il compte aussi quelques kilomètres de routes dont </w:t>
      </w:r>
      <w:r w:rsidR="00ED0A3C" w:rsidRPr="006706F3">
        <w:rPr>
          <w:rFonts w:ascii="Tahoma" w:eastAsia="Times New Roman" w:hAnsi="Tahoma" w:cs="Tahoma"/>
          <w:sz w:val="24"/>
          <w:szCs w:val="24"/>
        </w:rPr>
        <w:t xml:space="preserve">nous ne saurons pas la longueur </w:t>
      </w:r>
      <w:r w:rsidRPr="006706F3">
        <w:rPr>
          <w:rFonts w:ascii="Tahoma" w:eastAsia="Times New Roman" w:hAnsi="Tahoma" w:cs="Tahoma"/>
          <w:sz w:val="24"/>
          <w:szCs w:val="24"/>
        </w:rPr>
        <w:t>exact</w:t>
      </w:r>
      <w:r w:rsidR="00ED0A3C" w:rsidRPr="006706F3">
        <w:rPr>
          <w:rFonts w:ascii="Tahoma" w:eastAsia="Times New Roman" w:hAnsi="Tahoma" w:cs="Tahoma"/>
          <w:sz w:val="24"/>
          <w:szCs w:val="24"/>
        </w:rPr>
        <w:t xml:space="preserve">e, </w:t>
      </w:r>
      <w:r w:rsidR="00F32668" w:rsidRPr="006706F3">
        <w:rPr>
          <w:rFonts w:ascii="Tahoma" w:eastAsia="Times New Roman" w:hAnsi="Tahoma" w:cs="Tahoma"/>
          <w:sz w:val="24"/>
          <w:szCs w:val="24"/>
        </w:rPr>
        <w:t>n’</w:t>
      </w:r>
      <w:r w:rsidR="00ED0A3C" w:rsidRPr="006706F3">
        <w:rPr>
          <w:rFonts w:ascii="Tahoma" w:eastAsia="Times New Roman" w:hAnsi="Tahoma" w:cs="Tahoma"/>
          <w:sz w:val="24"/>
          <w:szCs w:val="24"/>
        </w:rPr>
        <w:t xml:space="preserve">ayant obtenu aucun rendez-vous abouti </w:t>
      </w:r>
      <w:r w:rsidRPr="006706F3">
        <w:rPr>
          <w:rFonts w:ascii="Tahoma" w:eastAsia="Times New Roman" w:hAnsi="Tahoma" w:cs="Tahoma"/>
          <w:sz w:val="24"/>
          <w:szCs w:val="24"/>
        </w:rPr>
        <w:t>avec la commune lors de cette enquête.</w:t>
      </w:r>
    </w:p>
    <w:p w14:paraId="4BBBC2CA" w14:textId="77777777" w:rsidR="007F7FD3" w:rsidRPr="006706F3" w:rsidRDefault="00B777B4" w:rsidP="00F35D7D">
      <w:pPr>
        <w:pStyle w:val="Normal1"/>
        <w:spacing w:after="160" w:line="240" w:lineRule="auto"/>
        <w:jc w:val="both"/>
        <w:rPr>
          <w:rFonts w:ascii="Tahoma" w:eastAsia="Times New Roman" w:hAnsi="Tahoma" w:cs="Tahoma"/>
          <w:sz w:val="24"/>
          <w:szCs w:val="24"/>
        </w:rPr>
      </w:pPr>
      <w:r w:rsidRPr="006706F3">
        <w:rPr>
          <w:rFonts w:ascii="Tahoma" w:eastAsia="Times New Roman" w:hAnsi="Tahoma" w:cs="Tahoma"/>
          <w:sz w:val="24"/>
          <w:szCs w:val="24"/>
        </w:rPr>
        <w:t xml:space="preserve">Cependant, </w:t>
      </w:r>
      <w:r w:rsidR="00F32668" w:rsidRPr="006706F3">
        <w:rPr>
          <w:rFonts w:ascii="Tahoma" w:eastAsia="Times New Roman" w:hAnsi="Tahoma" w:cs="Tahoma"/>
          <w:sz w:val="24"/>
          <w:szCs w:val="24"/>
        </w:rPr>
        <w:t xml:space="preserve">à quelques kilomètres </w:t>
      </w:r>
      <w:r w:rsidRPr="006706F3">
        <w:rPr>
          <w:rFonts w:ascii="Tahoma" w:eastAsia="Times New Roman" w:hAnsi="Tahoma" w:cs="Tahoma"/>
          <w:sz w:val="24"/>
          <w:szCs w:val="24"/>
        </w:rPr>
        <w:t xml:space="preserve">de ce beau décor surréaliste, les habitants des quartiers Kigoma et </w:t>
      </w:r>
      <w:proofErr w:type="spellStart"/>
      <w:r w:rsidRPr="006706F3">
        <w:rPr>
          <w:rFonts w:ascii="Tahoma" w:eastAsia="Times New Roman" w:hAnsi="Tahoma" w:cs="Tahoma"/>
          <w:sz w:val="24"/>
          <w:szCs w:val="24"/>
        </w:rPr>
        <w:t>Kabetsha</w:t>
      </w:r>
      <w:proofErr w:type="spellEnd"/>
      <w:r w:rsidRPr="006706F3">
        <w:rPr>
          <w:rFonts w:ascii="Tahoma" w:eastAsia="Times New Roman" w:hAnsi="Tahoma" w:cs="Tahoma"/>
          <w:sz w:val="24"/>
          <w:szCs w:val="24"/>
        </w:rPr>
        <w:t xml:space="preserve">, autour de la mine de </w:t>
      </w:r>
      <w:proofErr w:type="spellStart"/>
      <w:r w:rsidRPr="006706F3">
        <w:rPr>
          <w:rFonts w:ascii="Tahoma" w:eastAsia="Times New Roman" w:hAnsi="Tahoma" w:cs="Tahoma"/>
          <w:sz w:val="24"/>
          <w:szCs w:val="24"/>
        </w:rPr>
        <w:t>Chemaf</w:t>
      </w:r>
      <w:proofErr w:type="spellEnd"/>
      <w:r w:rsidRPr="006706F3">
        <w:rPr>
          <w:rFonts w:ascii="Tahoma" w:eastAsia="Times New Roman" w:hAnsi="Tahoma" w:cs="Tahoma"/>
          <w:sz w:val="24"/>
          <w:szCs w:val="24"/>
        </w:rPr>
        <w:t xml:space="preserve">, ignorent tout de la hauteur des montants payés à titre de redevance. Ilunga Sardou, chef de quartier Kigoma, par exemple, regrette que la population subisse les effets des activités minières sans bénéficier des paiements effectués. Des propos confirmés par Françoise </w:t>
      </w:r>
      <w:proofErr w:type="spellStart"/>
      <w:r w:rsidRPr="006706F3">
        <w:rPr>
          <w:rFonts w:ascii="Tahoma" w:eastAsia="Times New Roman" w:hAnsi="Tahoma" w:cs="Tahoma"/>
          <w:sz w:val="24"/>
          <w:szCs w:val="24"/>
        </w:rPr>
        <w:t>Kabund</w:t>
      </w:r>
      <w:proofErr w:type="spellEnd"/>
      <w:r w:rsidRPr="006706F3">
        <w:rPr>
          <w:rFonts w:ascii="Tahoma" w:eastAsia="Times New Roman" w:hAnsi="Tahoma" w:cs="Tahoma"/>
          <w:sz w:val="24"/>
          <w:szCs w:val="24"/>
        </w:rPr>
        <w:t xml:space="preserve"> </w:t>
      </w:r>
      <w:proofErr w:type="spellStart"/>
      <w:r w:rsidRPr="006706F3">
        <w:rPr>
          <w:rFonts w:ascii="Tahoma" w:eastAsia="Times New Roman" w:hAnsi="Tahoma" w:cs="Tahoma"/>
          <w:sz w:val="24"/>
          <w:szCs w:val="24"/>
        </w:rPr>
        <w:t>Yav</w:t>
      </w:r>
      <w:proofErr w:type="spellEnd"/>
      <w:r w:rsidRPr="006706F3">
        <w:rPr>
          <w:rFonts w:ascii="Tahoma" w:eastAsia="Times New Roman" w:hAnsi="Tahoma" w:cs="Tahoma"/>
          <w:sz w:val="24"/>
          <w:szCs w:val="24"/>
        </w:rPr>
        <w:t xml:space="preserve">, trésorière du Comité de développement du quartier </w:t>
      </w:r>
      <w:proofErr w:type="spellStart"/>
      <w:r w:rsidRPr="006706F3">
        <w:rPr>
          <w:rFonts w:ascii="Tahoma" w:eastAsia="Times New Roman" w:hAnsi="Tahoma" w:cs="Tahoma"/>
          <w:sz w:val="24"/>
          <w:szCs w:val="24"/>
        </w:rPr>
        <w:t>Kabetsha</w:t>
      </w:r>
      <w:proofErr w:type="spellEnd"/>
      <w:r w:rsidRPr="006706F3">
        <w:rPr>
          <w:rFonts w:ascii="Tahoma" w:eastAsia="Times New Roman" w:hAnsi="Tahoma" w:cs="Tahoma"/>
          <w:sz w:val="24"/>
          <w:szCs w:val="24"/>
        </w:rPr>
        <w:t xml:space="preserve">, un autre quartier populaire de Kampemba: «Je suis étonnée  de voir que même le camp </w:t>
      </w:r>
      <w:proofErr w:type="spellStart"/>
      <w:r w:rsidRPr="006706F3">
        <w:rPr>
          <w:rFonts w:ascii="Tahoma" w:eastAsia="Times New Roman" w:hAnsi="Tahoma" w:cs="Tahoma"/>
          <w:sz w:val="24"/>
          <w:szCs w:val="24"/>
        </w:rPr>
        <w:t>Tshiamilemba</w:t>
      </w:r>
      <w:proofErr w:type="spellEnd"/>
      <w:r w:rsidRPr="006706F3">
        <w:rPr>
          <w:rFonts w:ascii="Tahoma" w:eastAsia="Times New Roman" w:hAnsi="Tahoma" w:cs="Tahoma"/>
          <w:sz w:val="24"/>
          <w:szCs w:val="24"/>
        </w:rPr>
        <w:t xml:space="preserve"> où est érigée une mine de </w:t>
      </w:r>
      <w:proofErr w:type="spellStart"/>
      <w:r w:rsidRPr="006706F3">
        <w:rPr>
          <w:rFonts w:ascii="Tahoma" w:eastAsia="Times New Roman" w:hAnsi="Tahoma" w:cs="Tahoma"/>
          <w:sz w:val="24"/>
          <w:szCs w:val="24"/>
        </w:rPr>
        <w:t>Chemaf</w:t>
      </w:r>
      <w:proofErr w:type="spellEnd"/>
      <w:r w:rsidRPr="006706F3">
        <w:rPr>
          <w:rFonts w:ascii="Tahoma" w:eastAsia="Times New Roman" w:hAnsi="Tahoma" w:cs="Tahoma"/>
          <w:sz w:val="24"/>
          <w:szCs w:val="24"/>
        </w:rPr>
        <w:t xml:space="preserve"> n’a même pas d’eau potable ». La commune a néanmoins réussi à y ériger au moins deux bornes fontaines.</w:t>
      </w:r>
    </w:p>
    <w:p w14:paraId="7D2CA4E8" w14:textId="77777777" w:rsidR="007F7FD3" w:rsidRPr="00F35D7D" w:rsidRDefault="00B777B4" w:rsidP="00F35D7D">
      <w:pPr>
        <w:pStyle w:val="Normal1"/>
        <w:spacing w:after="160" w:line="240" w:lineRule="auto"/>
        <w:jc w:val="both"/>
        <w:rPr>
          <w:rFonts w:ascii="Tahoma" w:eastAsia="Times New Roman" w:hAnsi="Tahoma" w:cs="Tahoma"/>
          <w:b/>
          <w:sz w:val="24"/>
          <w:szCs w:val="24"/>
        </w:rPr>
      </w:pPr>
      <w:r w:rsidRPr="00F35D7D">
        <w:rPr>
          <w:rFonts w:ascii="Tahoma" w:eastAsia="Times New Roman" w:hAnsi="Tahoma" w:cs="Tahoma"/>
          <w:b/>
          <w:sz w:val="24"/>
          <w:szCs w:val="24"/>
        </w:rPr>
        <w:t>Actions minimales, paiements inconnus du public</w:t>
      </w:r>
    </w:p>
    <w:p w14:paraId="34BF5D34" w14:textId="77777777" w:rsidR="007F7FD3" w:rsidRPr="006706F3" w:rsidRDefault="00B777B4" w:rsidP="00F35D7D">
      <w:pPr>
        <w:pStyle w:val="Normal1"/>
        <w:spacing w:after="160" w:line="240" w:lineRule="auto"/>
        <w:jc w:val="both"/>
        <w:rPr>
          <w:rFonts w:ascii="Tahoma" w:eastAsia="Times New Roman" w:hAnsi="Tahoma" w:cs="Tahoma"/>
          <w:sz w:val="24"/>
          <w:szCs w:val="24"/>
        </w:rPr>
      </w:pPr>
      <w:r w:rsidRPr="006706F3">
        <w:rPr>
          <w:rFonts w:ascii="Tahoma" w:eastAsia="Times New Roman" w:hAnsi="Tahoma" w:cs="Tahoma"/>
          <w:sz w:val="24"/>
          <w:szCs w:val="24"/>
        </w:rPr>
        <w:t xml:space="preserve">Dans les autres communes, dans le Haut-Katanga comme dans le Lualaba, les fonds de redevance minière servent à l’érection ou à la réfection des bâtiments publics, des bureaux principalement, des routes et des puits d’eau sécurisés. Ce que plusieurs activistes de la société civile critiquent, dénonçant l’absence d’un plan de développement local. Lucien </w:t>
      </w:r>
      <w:proofErr w:type="spellStart"/>
      <w:r w:rsidRPr="006706F3">
        <w:rPr>
          <w:rFonts w:ascii="Tahoma" w:eastAsia="Times New Roman" w:hAnsi="Tahoma" w:cs="Tahoma"/>
          <w:sz w:val="24"/>
          <w:szCs w:val="24"/>
        </w:rPr>
        <w:t>Mbuyu</w:t>
      </w:r>
      <w:proofErr w:type="spellEnd"/>
      <w:r w:rsidRPr="006706F3">
        <w:rPr>
          <w:rFonts w:ascii="Tahoma" w:eastAsia="Times New Roman" w:hAnsi="Tahoma" w:cs="Tahoma"/>
          <w:sz w:val="24"/>
          <w:szCs w:val="24"/>
        </w:rPr>
        <w:t>, team leader Climat des affaires et Partenariat public-privé de la société civile de la commune</w:t>
      </w:r>
      <w:r w:rsidR="002F5E03" w:rsidRPr="006706F3">
        <w:rPr>
          <w:rFonts w:ascii="Tahoma" w:eastAsia="Times New Roman" w:hAnsi="Tahoma" w:cs="Tahoma"/>
          <w:sz w:val="24"/>
          <w:szCs w:val="24"/>
        </w:rPr>
        <w:t xml:space="preserve"> </w:t>
      </w:r>
      <w:proofErr w:type="spellStart"/>
      <w:r w:rsidR="002F5E03" w:rsidRPr="006706F3">
        <w:rPr>
          <w:rFonts w:ascii="Tahoma" w:eastAsia="Times New Roman" w:hAnsi="Tahoma" w:cs="Tahoma"/>
          <w:sz w:val="24"/>
          <w:szCs w:val="24"/>
        </w:rPr>
        <w:t>Ruashi</w:t>
      </w:r>
      <w:proofErr w:type="spellEnd"/>
      <w:r w:rsidR="00606D0A" w:rsidRPr="006706F3">
        <w:rPr>
          <w:rFonts w:ascii="Tahoma" w:eastAsia="Times New Roman" w:hAnsi="Tahoma" w:cs="Tahoma"/>
          <w:sz w:val="24"/>
          <w:szCs w:val="24"/>
        </w:rPr>
        <w:t>, déplore</w:t>
      </w:r>
      <w:r w:rsidRPr="006706F3">
        <w:rPr>
          <w:rFonts w:ascii="Tahoma" w:eastAsia="Times New Roman" w:hAnsi="Tahoma" w:cs="Tahoma"/>
          <w:sz w:val="24"/>
          <w:szCs w:val="24"/>
        </w:rPr>
        <w:t xml:space="preserve"> le fait que « la commune ne perçoit en réalité que 10% », les 5% autres étant détournés par une sorte d’entente « illégale » entre dirigeants locaux.</w:t>
      </w:r>
    </w:p>
    <w:p w14:paraId="2C6776B9" w14:textId="77777777" w:rsidR="002F5E03" w:rsidRPr="006706F3" w:rsidRDefault="002F5E03" w:rsidP="00F35D7D">
      <w:pPr>
        <w:pStyle w:val="Normal1"/>
        <w:spacing w:after="160" w:line="240" w:lineRule="auto"/>
        <w:jc w:val="both"/>
        <w:rPr>
          <w:rFonts w:ascii="Tahoma" w:eastAsia="Times New Roman" w:hAnsi="Tahoma" w:cs="Tahoma"/>
          <w:sz w:val="24"/>
          <w:szCs w:val="24"/>
        </w:rPr>
      </w:pPr>
      <w:r w:rsidRPr="006706F3">
        <w:rPr>
          <w:rFonts w:ascii="Tahoma" w:eastAsia="Times New Roman" w:hAnsi="Tahoma" w:cs="Tahoma"/>
          <w:sz w:val="24"/>
          <w:szCs w:val="24"/>
        </w:rPr>
        <w:lastRenderedPageBreak/>
        <w:t>En effet, selon le c</w:t>
      </w:r>
      <w:r w:rsidR="00490522" w:rsidRPr="006706F3">
        <w:rPr>
          <w:rFonts w:ascii="Tahoma" w:eastAsia="Times New Roman" w:hAnsi="Tahoma" w:cs="Tahoma"/>
          <w:sz w:val="24"/>
          <w:szCs w:val="24"/>
        </w:rPr>
        <w:t>ode minier révisé en 2018 (article 242)</w:t>
      </w:r>
      <w:r w:rsidRPr="006706F3">
        <w:rPr>
          <w:rFonts w:ascii="Tahoma" w:eastAsia="Times New Roman" w:hAnsi="Tahoma" w:cs="Tahoma"/>
          <w:sz w:val="24"/>
          <w:szCs w:val="24"/>
        </w:rPr>
        <w:t xml:space="preserve"> la répartition de la redevance minière prévoit 50% du total pour le pouvoir central, 25% pour la province, 15% pour l’entité décentralisée et 10% pour les générations futures.</w:t>
      </w:r>
    </w:p>
    <w:p w14:paraId="18426117" w14:textId="554FDD82" w:rsidR="007F7FD3" w:rsidRDefault="00B777B4" w:rsidP="00F35D7D">
      <w:pPr>
        <w:pStyle w:val="Normal1"/>
        <w:spacing w:after="160" w:line="240" w:lineRule="auto"/>
        <w:jc w:val="both"/>
        <w:rPr>
          <w:rFonts w:ascii="Tahoma" w:eastAsia="Times New Roman" w:hAnsi="Tahoma" w:cs="Tahoma"/>
          <w:sz w:val="24"/>
          <w:szCs w:val="24"/>
        </w:rPr>
      </w:pPr>
      <w:r w:rsidRPr="006706F3">
        <w:rPr>
          <w:rFonts w:ascii="Tahoma" w:eastAsia="Times New Roman" w:hAnsi="Tahoma" w:cs="Tahoma"/>
          <w:sz w:val="24"/>
          <w:szCs w:val="24"/>
        </w:rPr>
        <w:t xml:space="preserve">Contre les accusations de mauvaise gestion qui la ciblent, comme d’autres de ses collègues concernés par les paiements en vertu du code minier rénové, la bourgmestre de </w:t>
      </w:r>
      <w:proofErr w:type="spellStart"/>
      <w:r w:rsidRPr="006706F3">
        <w:rPr>
          <w:rFonts w:ascii="Tahoma" w:eastAsia="Times New Roman" w:hAnsi="Tahoma" w:cs="Tahoma"/>
          <w:sz w:val="24"/>
          <w:szCs w:val="24"/>
        </w:rPr>
        <w:t>Ruashi</w:t>
      </w:r>
      <w:proofErr w:type="spellEnd"/>
      <w:r w:rsidRPr="006706F3">
        <w:rPr>
          <w:rFonts w:ascii="Tahoma" w:eastAsia="Times New Roman" w:hAnsi="Tahoma" w:cs="Tahoma"/>
          <w:sz w:val="24"/>
          <w:szCs w:val="24"/>
        </w:rPr>
        <w:t xml:space="preserve"> où est implantée la société </w:t>
      </w:r>
      <w:proofErr w:type="spellStart"/>
      <w:r w:rsidRPr="006706F3">
        <w:rPr>
          <w:rFonts w:ascii="Tahoma" w:eastAsia="Times New Roman" w:hAnsi="Tahoma" w:cs="Tahoma"/>
          <w:sz w:val="24"/>
          <w:szCs w:val="24"/>
        </w:rPr>
        <w:t>Ruashi</w:t>
      </w:r>
      <w:proofErr w:type="spellEnd"/>
      <w:r w:rsidRPr="006706F3">
        <w:rPr>
          <w:rFonts w:ascii="Tahoma" w:eastAsia="Times New Roman" w:hAnsi="Tahoma" w:cs="Tahoma"/>
          <w:sz w:val="24"/>
          <w:szCs w:val="24"/>
        </w:rPr>
        <w:t xml:space="preserve"> Mining, filiale du Sud-africain </w:t>
      </w:r>
      <w:proofErr w:type="spellStart"/>
      <w:r w:rsidRPr="006706F3">
        <w:rPr>
          <w:rFonts w:ascii="Tahoma" w:eastAsia="Times New Roman" w:hAnsi="Tahoma" w:cs="Tahoma"/>
          <w:sz w:val="24"/>
          <w:szCs w:val="24"/>
        </w:rPr>
        <w:t>Metorex</w:t>
      </w:r>
      <w:proofErr w:type="spellEnd"/>
      <w:r w:rsidRPr="006706F3">
        <w:rPr>
          <w:rFonts w:ascii="Tahoma" w:eastAsia="Times New Roman" w:hAnsi="Tahoma" w:cs="Tahoma"/>
          <w:sz w:val="24"/>
          <w:szCs w:val="24"/>
        </w:rPr>
        <w:t xml:space="preserve"> exploitant le cuivre et le cobalt, clame la transparence. « Nous avons des contrôleurs qui viennent de différentes institutions politiques pour l'argent de la redevance », affirme-t-elle, sans indiquer de quels services viennent ces contrôleurs. Comme</w:t>
      </w:r>
      <w:r w:rsidRPr="00F35D7D">
        <w:rPr>
          <w:rFonts w:ascii="Tahoma" w:eastAsia="Times New Roman" w:hAnsi="Tahoma" w:cs="Tahoma"/>
          <w:sz w:val="24"/>
          <w:szCs w:val="24"/>
        </w:rPr>
        <w:t xml:space="preserve"> chez tous ses collègues, y compris à Kolwezi dans le Lualaba, aucun chiffre ne filtre.</w:t>
      </w:r>
    </w:p>
    <w:p w14:paraId="73F1AFAC" w14:textId="77777777" w:rsidR="006706F3" w:rsidRPr="00F35D7D" w:rsidRDefault="006706F3" w:rsidP="00F35D7D">
      <w:pPr>
        <w:pStyle w:val="Normal1"/>
        <w:spacing w:after="160" w:line="240" w:lineRule="auto"/>
        <w:jc w:val="both"/>
        <w:rPr>
          <w:rFonts w:ascii="Tahoma" w:eastAsia="Times New Roman" w:hAnsi="Tahoma" w:cs="Tahoma"/>
          <w:sz w:val="24"/>
          <w:szCs w:val="24"/>
        </w:rPr>
      </w:pPr>
    </w:p>
    <w:p w14:paraId="45936694" w14:textId="77777777" w:rsidR="00FC2332" w:rsidRPr="00F35D7D" w:rsidRDefault="00FC2332" w:rsidP="00F35D7D">
      <w:pPr>
        <w:pStyle w:val="Normal1"/>
        <w:spacing w:after="160" w:line="240" w:lineRule="auto"/>
        <w:jc w:val="both"/>
        <w:rPr>
          <w:rFonts w:ascii="Tahoma" w:eastAsia="Times New Roman" w:hAnsi="Tahoma" w:cs="Tahoma"/>
          <w:sz w:val="24"/>
          <w:szCs w:val="24"/>
        </w:rPr>
      </w:pPr>
      <w:r w:rsidRPr="00F35D7D">
        <w:rPr>
          <w:rFonts w:ascii="Tahoma" w:eastAsia="Times New Roman" w:hAnsi="Tahoma" w:cs="Tahoma"/>
          <w:noProof/>
          <w:sz w:val="24"/>
          <w:szCs w:val="24"/>
          <w:lang w:val="en-US" w:eastAsia="en-US"/>
        </w:rPr>
        <w:drawing>
          <wp:inline distT="0" distB="0" distL="0" distR="0" wp14:anchorId="170CEE73" wp14:editId="14B09B55">
            <wp:extent cx="5092311" cy="3742838"/>
            <wp:effectExtent l="0" t="666750" r="0" b="657860"/>
            <wp:docPr id="6" name="Image 6" descr="C:\Users\hp\Documents\Internews\Pool-Production\Extrait Rapport Makuta Ya Congo, Nov.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cuments\Internews\Pool-Production\Extrait Rapport Makuta Ya Congo, Nov. 2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5216490" cy="3834109"/>
                    </a:xfrm>
                    <a:prstGeom prst="rect">
                      <a:avLst/>
                    </a:prstGeom>
                    <a:noFill/>
                    <a:ln>
                      <a:noFill/>
                    </a:ln>
                  </pic:spPr>
                </pic:pic>
              </a:graphicData>
            </a:graphic>
          </wp:inline>
        </w:drawing>
      </w:r>
    </w:p>
    <w:p w14:paraId="3E8E699A" w14:textId="77777777" w:rsidR="006706F3" w:rsidRPr="006706F3" w:rsidRDefault="006706F3" w:rsidP="00F35D7D">
      <w:pPr>
        <w:pStyle w:val="Normal1"/>
        <w:spacing w:after="160" w:line="240" w:lineRule="auto"/>
        <w:jc w:val="both"/>
        <w:rPr>
          <w:rFonts w:ascii="Tahoma" w:eastAsia="Times New Roman" w:hAnsi="Tahoma" w:cs="Tahoma"/>
          <w:sz w:val="24"/>
          <w:szCs w:val="24"/>
        </w:rPr>
      </w:pPr>
    </w:p>
    <w:p w14:paraId="42D31096" w14:textId="14EE880A" w:rsidR="007F7FD3" w:rsidRPr="006706F3" w:rsidRDefault="00B777B4" w:rsidP="00F35D7D">
      <w:pPr>
        <w:pStyle w:val="Normal1"/>
        <w:spacing w:after="160" w:line="240" w:lineRule="auto"/>
        <w:jc w:val="both"/>
        <w:rPr>
          <w:rFonts w:ascii="Tahoma" w:eastAsia="Times New Roman" w:hAnsi="Tahoma" w:cs="Tahoma"/>
          <w:sz w:val="24"/>
          <w:szCs w:val="24"/>
        </w:rPr>
      </w:pPr>
      <w:r w:rsidRPr="006706F3">
        <w:rPr>
          <w:rFonts w:ascii="Tahoma" w:eastAsia="Times New Roman" w:hAnsi="Tahoma" w:cs="Tahoma"/>
          <w:sz w:val="24"/>
          <w:szCs w:val="24"/>
        </w:rPr>
        <w:t xml:space="preserve">Bourgmestre de la commune Annexe à Lubumbashi où les sociétés minières CDM (Congo </w:t>
      </w:r>
      <w:proofErr w:type="spellStart"/>
      <w:r w:rsidRPr="006706F3">
        <w:rPr>
          <w:rFonts w:ascii="Tahoma" w:eastAsia="Times New Roman" w:hAnsi="Tahoma" w:cs="Tahoma"/>
          <w:sz w:val="24"/>
          <w:szCs w:val="24"/>
        </w:rPr>
        <w:t>Dongfang</w:t>
      </w:r>
      <w:proofErr w:type="spellEnd"/>
      <w:r w:rsidRPr="006706F3">
        <w:rPr>
          <w:rFonts w:ascii="Tahoma" w:eastAsia="Times New Roman" w:hAnsi="Tahoma" w:cs="Tahoma"/>
          <w:sz w:val="24"/>
          <w:szCs w:val="24"/>
        </w:rPr>
        <w:t xml:space="preserve"> Mining) et SOMIKA (Société </w:t>
      </w:r>
      <w:r w:rsidR="00046371" w:rsidRPr="006706F3">
        <w:rPr>
          <w:rFonts w:ascii="Tahoma" w:eastAsia="Times New Roman" w:hAnsi="Tahoma" w:cs="Tahoma"/>
          <w:sz w:val="24"/>
          <w:szCs w:val="24"/>
        </w:rPr>
        <w:t xml:space="preserve">Minière </w:t>
      </w:r>
      <w:r w:rsidRPr="006706F3">
        <w:rPr>
          <w:rFonts w:ascii="Tahoma" w:eastAsia="Times New Roman" w:hAnsi="Tahoma" w:cs="Tahoma"/>
          <w:sz w:val="24"/>
          <w:szCs w:val="24"/>
        </w:rPr>
        <w:t xml:space="preserve">du Katanga) paient leurs </w:t>
      </w:r>
      <w:r w:rsidRPr="006706F3">
        <w:rPr>
          <w:rFonts w:ascii="Tahoma" w:eastAsia="Times New Roman" w:hAnsi="Tahoma" w:cs="Tahoma"/>
          <w:sz w:val="24"/>
          <w:szCs w:val="24"/>
        </w:rPr>
        <w:lastRenderedPageBreak/>
        <w:t xml:space="preserve">redevances, </w:t>
      </w:r>
      <w:r w:rsidR="003818AB" w:rsidRPr="006706F3">
        <w:rPr>
          <w:rFonts w:ascii="Tahoma" w:eastAsia="Times New Roman" w:hAnsi="Tahoma" w:cs="Tahoma"/>
          <w:sz w:val="24"/>
          <w:szCs w:val="24"/>
        </w:rPr>
        <w:t>Rémy</w:t>
      </w:r>
      <w:r w:rsidRPr="006706F3">
        <w:rPr>
          <w:rFonts w:ascii="Tahoma" w:eastAsia="Times New Roman" w:hAnsi="Tahoma" w:cs="Tahoma"/>
          <w:sz w:val="24"/>
          <w:szCs w:val="24"/>
        </w:rPr>
        <w:t xml:space="preserve"> </w:t>
      </w:r>
      <w:proofErr w:type="spellStart"/>
      <w:r w:rsidRPr="006706F3">
        <w:rPr>
          <w:rFonts w:ascii="Tahoma" w:eastAsia="Times New Roman" w:hAnsi="Tahoma" w:cs="Tahoma"/>
          <w:sz w:val="24"/>
          <w:szCs w:val="24"/>
        </w:rPr>
        <w:t>Musense</w:t>
      </w:r>
      <w:proofErr w:type="spellEnd"/>
      <w:r w:rsidRPr="006706F3">
        <w:rPr>
          <w:rFonts w:ascii="Tahoma" w:eastAsia="Times New Roman" w:hAnsi="Tahoma" w:cs="Tahoma"/>
          <w:sz w:val="24"/>
          <w:szCs w:val="24"/>
        </w:rPr>
        <w:t xml:space="preserve"> refuse d’admettre </w:t>
      </w:r>
      <w:r w:rsidR="000838AE" w:rsidRPr="006706F3">
        <w:rPr>
          <w:rFonts w:ascii="Tahoma" w:eastAsia="Times New Roman" w:hAnsi="Tahoma" w:cs="Tahoma"/>
          <w:sz w:val="24"/>
          <w:szCs w:val="24"/>
        </w:rPr>
        <w:t>que le</w:t>
      </w:r>
      <w:r w:rsidRPr="006706F3">
        <w:rPr>
          <w:rFonts w:ascii="Tahoma" w:eastAsia="Times New Roman" w:hAnsi="Tahoma" w:cs="Tahoma"/>
          <w:sz w:val="24"/>
          <w:szCs w:val="24"/>
        </w:rPr>
        <w:t xml:space="preserve"> silen</w:t>
      </w:r>
      <w:r w:rsidR="007D1C11" w:rsidRPr="006706F3">
        <w:rPr>
          <w:rFonts w:ascii="Tahoma" w:eastAsia="Times New Roman" w:hAnsi="Tahoma" w:cs="Tahoma"/>
          <w:sz w:val="24"/>
          <w:szCs w:val="24"/>
        </w:rPr>
        <w:t>ce sur ces fonds soit suspect. Et a</w:t>
      </w:r>
      <w:r w:rsidRPr="006706F3">
        <w:rPr>
          <w:rFonts w:ascii="Tahoma" w:eastAsia="Times New Roman" w:hAnsi="Tahoma" w:cs="Tahoma"/>
          <w:sz w:val="24"/>
          <w:szCs w:val="24"/>
        </w:rPr>
        <w:t xml:space="preserve">lors que sa collègue de </w:t>
      </w:r>
      <w:proofErr w:type="spellStart"/>
      <w:r w:rsidRPr="006706F3">
        <w:rPr>
          <w:rFonts w:ascii="Tahoma" w:eastAsia="Times New Roman" w:hAnsi="Tahoma" w:cs="Tahoma"/>
          <w:sz w:val="24"/>
          <w:szCs w:val="24"/>
        </w:rPr>
        <w:t>Ruashi</w:t>
      </w:r>
      <w:proofErr w:type="spellEnd"/>
      <w:r w:rsidRPr="006706F3">
        <w:rPr>
          <w:rFonts w:ascii="Tahoma" w:eastAsia="Times New Roman" w:hAnsi="Tahoma" w:cs="Tahoma"/>
          <w:sz w:val="24"/>
          <w:szCs w:val="24"/>
        </w:rPr>
        <w:t xml:space="preserve"> dit</w:t>
      </w:r>
      <w:r w:rsidR="00E0125E" w:rsidRPr="006706F3">
        <w:rPr>
          <w:rFonts w:ascii="Tahoma" w:eastAsia="Times New Roman" w:hAnsi="Tahoma" w:cs="Tahoma"/>
          <w:sz w:val="24"/>
          <w:szCs w:val="24"/>
        </w:rPr>
        <w:t xml:space="preserve"> clairement</w:t>
      </w:r>
      <w:r w:rsidRPr="006706F3">
        <w:rPr>
          <w:rFonts w:ascii="Tahoma" w:eastAsia="Times New Roman" w:hAnsi="Tahoma" w:cs="Tahoma"/>
          <w:sz w:val="24"/>
          <w:szCs w:val="24"/>
        </w:rPr>
        <w:t xml:space="preserve"> : « On nous a interdit de parler de la redevance minière », </w:t>
      </w:r>
      <w:r w:rsidR="00DB3D33" w:rsidRPr="006706F3">
        <w:rPr>
          <w:rFonts w:ascii="Tahoma" w:eastAsia="Times New Roman" w:hAnsi="Tahoma" w:cs="Tahoma"/>
          <w:sz w:val="24"/>
          <w:szCs w:val="24"/>
        </w:rPr>
        <w:t xml:space="preserve">Rémy </w:t>
      </w:r>
      <w:proofErr w:type="spellStart"/>
      <w:r w:rsidR="00DB3D33" w:rsidRPr="006706F3">
        <w:rPr>
          <w:rFonts w:ascii="Tahoma" w:eastAsia="Times New Roman" w:hAnsi="Tahoma" w:cs="Tahoma"/>
          <w:sz w:val="24"/>
          <w:szCs w:val="24"/>
        </w:rPr>
        <w:t>Musense</w:t>
      </w:r>
      <w:proofErr w:type="spellEnd"/>
      <w:r w:rsidR="00DB3D33" w:rsidRPr="006706F3">
        <w:rPr>
          <w:rFonts w:ascii="Tahoma" w:eastAsia="Times New Roman" w:hAnsi="Tahoma" w:cs="Tahoma"/>
          <w:sz w:val="24"/>
          <w:szCs w:val="24"/>
        </w:rPr>
        <w:t xml:space="preserve"> assure avec un </w:t>
      </w:r>
      <w:r w:rsidRPr="006706F3">
        <w:rPr>
          <w:rFonts w:ascii="Tahoma" w:eastAsia="Times New Roman" w:hAnsi="Tahoma" w:cs="Tahoma"/>
          <w:sz w:val="24"/>
          <w:szCs w:val="24"/>
        </w:rPr>
        <w:t>air dérangé : « Je ne peux pas vous le dire avec précision. Nous le</w:t>
      </w:r>
      <w:r w:rsidR="00DB3D33" w:rsidRPr="006706F3">
        <w:rPr>
          <w:rFonts w:ascii="Tahoma" w:eastAsia="Times New Roman" w:hAnsi="Tahoma" w:cs="Tahoma"/>
          <w:sz w:val="24"/>
          <w:szCs w:val="24"/>
        </w:rPr>
        <w:t>s</w:t>
      </w:r>
      <w:r w:rsidRPr="006706F3">
        <w:rPr>
          <w:rFonts w:ascii="Tahoma" w:eastAsia="Times New Roman" w:hAnsi="Tahoma" w:cs="Tahoma"/>
          <w:sz w:val="24"/>
          <w:szCs w:val="24"/>
        </w:rPr>
        <w:t xml:space="preserve"> percevons quand-même et nous restons transparents. Pour ceux qui doutent, nos œuvres parlent. Nous ne sommes pas ici pour nous enrichir ».</w:t>
      </w:r>
      <w:r w:rsidR="00466D9F" w:rsidRPr="006706F3">
        <w:rPr>
          <w:rFonts w:ascii="Tahoma" w:eastAsia="Times New Roman" w:hAnsi="Tahoma" w:cs="Tahoma"/>
          <w:sz w:val="24"/>
          <w:szCs w:val="24"/>
        </w:rPr>
        <w:t xml:space="preserve"> Bref, de tous les bourgmestres </w:t>
      </w:r>
      <w:r w:rsidR="006706F3">
        <w:rPr>
          <w:rFonts w:ascii="Tahoma" w:eastAsia="Times New Roman" w:hAnsi="Tahoma" w:cs="Tahoma"/>
          <w:sz w:val="24"/>
          <w:szCs w:val="24"/>
        </w:rPr>
        <w:t xml:space="preserve">aucun </w:t>
      </w:r>
      <w:r w:rsidR="00466D9F" w:rsidRPr="006706F3">
        <w:rPr>
          <w:rFonts w:ascii="Tahoma" w:eastAsia="Times New Roman" w:hAnsi="Tahoma" w:cs="Tahoma"/>
          <w:sz w:val="24"/>
          <w:szCs w:val="24"/>
        </w:rPr>
        <w:t>ne veut évoquer les chiffres.</w:t>
      </w:r>
      <w:r w:rsidRPr="006706F3">
        <w:rPr>
          <w:rFonts w:ascii="Tahoma" w:eastAsia="Times New Roman" w:hAnsi="Tahoma" w:cs="Tahoma"/>
          <w:sz w:val="24"/>
          <w:szCs w:val="24"/>
        </w:rPr>
        <w:t xml:space="preserve"> </w:t>
      </w:r>
    </w:p>
    <w:p w14:paraId="363015A5" w14:textId="77777777" w:rsidR="007F7FD3" w:rsidRPr="00F35D7D" w:rsidRDefault="007756B3" w:rsidP="00F35D7D">
      <w:pPr>
        <w:pStyle w:val="Normal1"/>
        <w:spacing w:after="160" w:line="240" w:lineRule="auto"/>
        <w:jc w:val="both"/>
        <w:rPr>
          <w:rFonts w:ascii="Tahoma" w:eastAsia="Times New Roman" w:hAnsi="Tahoma" w:cs="Tahoma"/>
          <w:b/>
          <w:sz w:val="24"/>
          <w:szCs w:val="24"/>
        </w:rPr>
      </w:pPr>
      <w:r w:rsidRPr="00F35D7D">
        <w:rPr>
          <w:rFonts w:ascii="Tahoma" w:eastAsia="Times New Roman" w:hAnsi="Tahoma" w:cs="Tahoma"/>
          <w:b/>
          <w:sz w:val="24"/>
          <w:szCs w:val="24"/>
        </w:rPr>
        <w:t>Une o</w:t>
      </w:r>
      <w:r w:rsidR="00B777B4" w:rsidRPr="00F35D7D">
        <w:rPr>
          <w:rFonts w:ascii="Tahoma" w:eastAsia="Times New Roman" w:hAnsi="Tahoma" w:cs="Tahoma"/>
          <w:b/>
          <w:sz w:val="24"/>
          <w:szCs w:val="24"/>
        </w:rPr>
        <w:t>pacité suspecte</w:t>
      </w:r>
    </w:p>
    <w:p w14:paraId="6DBB3BE5" w14:textId="1DE5B2DD" w:rsidR="007F7FD3" w:rsidRDefault="00B777B4" w:rsidP="00F35D7D">
      <w:pPr>
        <w:pStyle w:val="Heading2"/>
        <w:keepNext w:val="0"/>
        <w:keepLines w:val="0"/>
        <w:shd w:val="clear" w:color="auto" w:fill="FFFFFF"/>
        <w:spacing w:before="0" w:after="280" w:line="240" w:lineRule="auto"/>
        <w:jc w:val="both"/>
        <w:rPr>
          <w:rFonts w:ascii="Tahoma" w:eastAsia="Times New Roman" w:hAnsi="Tahoma" w:cs="Tahoma"/>
          <w:sz w:val="24"/>
          <w:szCs w:val="24"/>
        </w:rPr>
      </w:pPr>
      <w:r w:rsidRPr="006706F3">
        <w:rPr>
          <w:rFonts w:ascii="Tahoma" w:eastAsia="Times New Roman" w:hAnsi="Tahoma" w:cs="Tahoma"/>
          <w:sz w:val="24"/>
          <w:szCs w:val="24"/>
        </w:rPr>
        <w:t xml:space="preserve">En 2020, une commission parlementaire de l’assemblée provinciale du Haut-Katanga a conclu sur une gestion qui « laisse à désirer », en parlant de la redevance minière. Selon les statistiques de la division provinciale des mines, au moins </w:t>
      </w:r>
      <w:r w:rsidR="003F1CED" w:rsidRPr="006706F3">
        <w:rPr>
          <w:rFonts w:ascii="Tahoma" w:eastAsia="Times New Roman" w:hAnsi="Tahoma" w:cs="Tahoma"/>
          <w:sz w:val="24"/>
          <w:szCs w:val="24"/>
        </w:rPr>
        <w:t>15.</w:t>
      </w:r>
      <w:r w:rsidR="003941AE" w:rsidRPr="006706F3">
        <w:rPr>
          <w:rFonts w:ascii="Tahoma" w:eastAsia="Times New Roman" w:hAnsi="Tahoma" w:cs="Tahoma"/>
          <w:sz w:val="24"/>
          <w:szCs w:val="24"/>
        </w:rPr>
        <w:t>706.1</w:t>
      </w:r>
      <w:r w:rsidR="003F1CED" w:rsidRPr="006706F3">
        <w:rPr>
          <w:rFonts w:ascii="Tahoma" w:eastAsia="Times New Roman" w:hAnsi="Tahoma" w:cs="Tahoma"/>
          <w:sz w:val="24"/>
          <w:szCs w:val="24"/>
        </w:rPr>
        <w:t>02,4</w:t>
      </w:r>
      <w:r w:rsidR="003941AE" w:rsidRPr="006706F3">
        <w:rPr>
          <w:rFonts w:ascii="Tahoma" w:eastAsia="Times New Roman" w:hAnsi="Tahoma" w:cs="Tahoma"/>
          <w:sz w:val="24"/>
          <w:szCs w:val="24"/>
        </w:rPr>
        <w:t>8 dollars américains</w:t>
      </w:r>
      <w:r w:rsidR="003F1CED" w:rsidRPr="006706F3">
        <w:rPr>
          <w:rFonts w:ascii="Tahoma" w:eastAsia="Times New Roman" w:hAnsi="Tahoma" w:cs="Tahoma"/>
          <w:sz w:val="24"/>
          <w:szCs w:val="24"/>
        </w:rPr>
        <w:t xml:space="preserve"> </w:t>
      </w:r>
      <w:r w:rsidRPr="006706F3">
        <w:rPr>
          <w:rFonts w:ascii="Tahoma" w:eastAsia="Times New Roman" w:hAnsi="Tahoma" w:cs="Tahoma"/>
          <w:sz w:val="24"/>
          <w:szCs w:val="24"/>
        </w:rPr>
        <w:t xml:space="preserve">ont été versés au terme du mois d’octobre 2019, pour le compte de la redevance payée à tous les niveaux. En novembre, c’était </w:t>
      </w:r>
      <w:r w:rsidR="003941AE" w:rsidRPr="006706F3">
        <w:rPr>
          <w:rFonts w:ascii="Tahoma" w:eastAsia="Times New Roman" w:hAnsi="Tahoma" w:cs="Tahoma"/>
          <w:sz w:val="24"/>
          <w:szCs w:val="24"/>
        </w:rPr>
        <w:t>19.64</w:t>
      </w:r>
      <w:r w:rsidR="003F21A9" w:rsidRPr="006706F3">
        <w:rPr>
          <w:rFonts w:ascii="Tahoma" w:eastAsia="Times New Roman" w:hAnsi="Tahoma" w:cs="Tahoma"/>
          <w:sz w:val="24"/>
          <w:szCs w:val="24"/>
        </w:rPr>
        <w:t>3.5</w:t>
      </w:r>
      <w:r w:rsidR="003941AE" w:rsidRPr="006706F3">
        <w:rPr>
          <w:rFonts w:ascii="Tahoma" w:eastAsia="Times New Roman" w:hAnsi="Tahoma" w:cs="Tahoma"/>
          <w:sz w:val="24"/>
          <w:szCs w:val="24"/>
        </w:rPr>
        <w:t>83,23</w:t>
      </w:r>
      <w:r w:rsidR="00E41165" w:rsidRPr="006706F3">
        <w:rPr>
          <w:rFonts w:ascii="Tahoma" w:eastAsia="Times New Roman" w:hAnsi="Tahoma" w:cs="Tahoma"/>
          <w:sz w:val="24"/>
          <w:szCs w:val="24"/>
        </w:rPr>
        <w:t>$</w:t>
      </w:r>
      <w:r w:rsidR="009007B3" w:rsidRPr="006706F3">
        <w:rPr>
          <w:rFonts w:ascii="Tahoma" w:eastAsia="Times New Roman" w:hAnsi="Tahoma" w:cs="Tahoma"/>
          <w:sz w:val="24"/>
          <w:szCs w:val="24"/>
        </w:rPr>
        <w:t xml:space="preserve"> et quelques 18.027.254,18$</w:t>
      </w:r>
      <w:r w:rsidRPr="006706F3">
        <w:rPr>
          <w:rFonts w:ascii="Tahoma" w:eastAsia="Times New Roman" w:hAnsi="Tahoma" w:cs="Tahoma"/>
          <w:sz w:val="24"/>
          <w:szCs w:val="24"/>
        </w:rPr>
        <w:t xml:space="preserve"> millions en décembre de la même année.</w:t>
      </w:r>
      <w:r w:rsidR="002162FD" w:rsidRPr="006706F3">
        <w:rPr>
          <w:rFonts w:ascii="Tahoma" w:eastAsia="Times New Roman" w:hAnsi="Tahoma" w:cs="Tahoma"/>
          <w:sz w:val="24"/>
          <w:szCs w:val="24"/>
        </w:rPr>
        <w:t xml:space="preserve"> Des chiffres à consulter sous ce lien : </w:t>
      </w:r>
      <w:hyperlink r:id="rId6" w:history="1">
        <w:proofErr w:type="spellStart"/>
        <w:r w:rsidR="00A31FAA" w:rsidRPr="006706F3">
          <w:rPr>
            <w:rStyle w:val="Hyperlink"/>
            <w:rFonts w:ascii="Tahoma" w:eastAsia="Times New Roman" w:hAnsi="Tahoma" w:cs="Tahoma"/>
            <w:color w:val="auto"/>
            <w:sz w:val="24"/>
            <w:szCs w:val="24"/>
          </w:rPr>
          <w:t>congomines</w:t>
        </w:r>
        <w:proofErr w:type="spellEnd"/>
      </w:hyperlink>
      <w:r w:rsidR="00A31FAA" w:rsidRPr="006706F3">
        <w:rPr>
          <w:rFonts w:ascii="Tahoma" w:eastAsia="Times New Roman" w:hAnsi="Tahoma" w:cs="Tahoma"/>
          <w:sz w:val="24"/>
          <w:szCs w:val="24"/>
        </w:rPr>
        <w:t>.</w:t>
      </w:r>
    </w:p>
    <w:p w14:paraId="100B89DA" w14:textId="77777777" w:rsidR="006706F3" w:rsidRPr="006706F3" w:rsidRDefault="006706F3" w:rsidP="006706F3">
      <w:pPr>
        <w:pStyle w:val="Normal1"/>
      </w:pPr>
    </w:p>
    <w:p w14:paraId="42F5C20B" w14:textId="77777777" w:rsidR="00C353B8" w:rsidRPr="00F35D7D" w:rsidRDefault="00C353B8" w:rsidP="00F35D7D">
      <w:pPr>
        <w:pStyle w:val="Normal1"/>
        <w:spacing w:line="240" w:lineRule="auto"/>
        <w:rPr>
          <w:rFonts w:ascii="Tahoma" w:hAnsi="Tahoma" w:cs="Tahoma"/>
          <w:sz w:val="24"/>
          <w:szCs w:val="24"/>
        </w:rPr>
      </w:pPr>
      <w:r w:rsidRPr="00F35D7D">
        <w:rPr>
          <w:rFonts w:ascii="Tahoma" w:hAnsi="Tahoma" w:cs="Tahoma"/>
          <w:noProof/>
          <w:sz w:val="24"/>
          <w:szCs w:val="24"/>
          <w:lang w:val="en-US" w:eastAsia="en-US"/>
        </w:rPr>
        <w:drawing>
          <wp:inline distT="0" distB="0" distL="0" distR="0" wp14:anchorId="20F09663" wp14:editId="48C60E7C">
            <wp:extent cx="5947410" cy="3581400"/>
            <wp:effectExtent l="19050" t="0" r="0" b="0"/>
            <wp:docPr id="3" name="Image 2" descr="Statistiques Provinciales Haut-Katanga 2019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stiques Provinciales Haut-Katanga 2019 -.jpg"/>
                    <pic:cNvPicPr/>
                  </pic:nvPicPr>
                  <pic:blipFill>
                    <a:blip r:embed="rId7"/>
                    <a:srcRect b="9615"/>
                    <a:stretch>
                      <a:fillRect/>
                    </a:stretch>
                  </pic:blipFill>
                  <pic:spPr>
                    <a:xfrm>
                      <a:off x="0" y="0"/>
                      <a:ext cx="5947410" cy="3581400"/>
                    </a:xfrm>
                    <a:prstGeom prst="rect">
                      <a:avLst/>
                    </a:prstGeom>
                  </pic:spPr>
                </pic:pic>
              </a:graphicData>
            </a:graphic>
          </wp:inline>
        </w:drawing>
      </w:r>
    </w:p>
    <w:p w14:paraId="6921F197" w14:textId="66A1F370" w:rsidR="00C353B8" w:rsidRPr="00F35D7D" w:rsidRDefault="00C353B8" w:rsidP="00F35D7D">
      <w:pPr>
        <w:pStyle w:val="Normal1"/>
        <w:spacing w:line="240" w:lineRule="auto"/>
        <w:jc w:val="right"/>
        <w:rPr>
          <w:rFonts w:ascii="Tahoma" w:hAnsi="Tahoma" w:cs="Tahoma"/>
          <w:sz w:val="24"/>
          <w:szCs w:val="24"/>
        </w:rPr>
      </w:pPr>
      <w:r w:rsidRPr="00F35D7D">
        <w:rPr>
          <w:rFonts w:ascii="Tahoma" w:hAnsi="Tahoma" w:cs="Tahoma"/>
          <w:sz w:val="24"/>
          <w:szCs w:val="24"/>
        </w:rPr>
        <w:t xml:space="preserve">*Image 1 : Extrait des statistiques de la division provinciale des mines, province du </w:t>
      </w:r>
      <w:r w:rsidR="006706F3">
        <w:rPr>
          <w:rFonts w:ascii="Tahoma" w:hAnsi="Tahoma" w:cs="Tahoma"/>
          <w:sz w:val="24"/>
          <w:szCs w:val="24"/>
        </w:rPr>
        <w:t>Haut</w:t>
      </w:r>
      <w:r w:rsidRPr="00F35D7D">
        <w:rPr>
          <w:rFonts w:ascii="Tahoma" w:hAnsi="Tahoma" w:cs="Tahoma"/>
          <w:sz w:val="24"/>
          <w:szCs w:val="24"/>
        </w:rPr>
        <w:t>-Katanga</w:t>
      </w:r>
    </w:p>
    <w:p w14:paraId="563E26A4" w14:textId="77777777" w:rsidR="00C353B8" w:rsidRPr="00F35D7D" w:rsidRDefault="00C353B8" w:rsidP="00F35D7D">
      <w:pPr>
        <w:pStyle w:val="Normal1"/>
        <w:spacing w:line="240" w:lineRule="auto"/>
        <w:jc w:val="right"/>
        <w:rPr>
          <w:rFonts w:ascii="Tahoma" w:hAnsi="Tahoma" w:cs="Tahoma"/>
          <w:sz w:val="24"/>
          <w:szCs w:val="24"/>
        </w:rPr>
      </w:pPr>
    </w:p>
    <w:p w14:paraId="295D33ED" w14:textId="77777777" w:rsidR="00C353B8" w:rsidRPr="00F35D7D" w:rsidRDefault="00C353B8" w:rsidP="00F35D7D">
      <w:pPr>
        <w:pStyle w:val="Normal1"/>
        <w:spacing w:line="240" w:lineRule="auto"/>
        <w:rPr>
          <w:rFonts w:ascii="Tahoma" w:hAnsi="Tahoma" w:cs="Tahoma"/>
          <w:sz w:val="24"/>
          <w:szCs w:val="24"/>
        </w:rPr>
      </w:pPr>
    </w:p>
    <w:p w14:paraId="779DD679" w14:textId="77777777" w:rsidR="007F7FD3" w:rsidRPr="006706F3" w:rsidRDefault="00B777B4" w:rsidP="00F35D7D">
      <w:pPr>
        <w:pStyle w:val="Heading2"/>
        <w:keepNext w:val="0"/>
        <w:keepLines w:val="0"/>
        <w:shd w:val="clear" w:color="auto" w:fill="FFFFFF"/>
        <w:spacing w:before="0" w:after="280" w:line="240" w:lineRule="auto"/>
        <w:jc w:val="both"/>
        <w:rPr>
          <w:rFonts w:ascii="Tahoma" w:eastAsia="Times New Roman" w:hAnsi="Tahoma" w:cs="Tahoma"/>
          <w:sz w:val="24"/>
          <w:szCs w:val="24"/>
        </w:rPr>
      </w:pPr>
      <w:r w:rsidRPr="006706F3">
        <w:rPr>
          <w:rFonts w:ascii="Tahoma" w:eastAsia="Times New Roman" w:hAnsi="Tahoma" w:cs="Tahoma"/>
          <w:sz w:val="24"/>
          <w:szCs w:val="24"/>
        </w:rPr>
        <w:t xml:space="preserve">Les organisations de la société civile s’indignent que ces fonds servent à payer des véhicules et à arranger des bâtiments, regrette un journaliste de Kolwezi, parlant de la commune de </w:t>
      </w:r>
      <w:proofErr w:type="spellStart"/>
      <w:r w:rsidRPr="006706F3">
        <w:rPr>
          <w:rFonts w:ascii="Tahoma" w:eastAsia="Times New Roman" w:hAnsi="Tahoma" w:cs="Tahoma"/>
          <w:sz w:val="24"/>
          <w:szCs w:val="24"/>
        </w:rPr>
        <w:t>Dilala</w:t>
      </w:r>
      <w:proofErr w:type="spellEnd"/>
      <w:r w:rsidRPr="006706F3">
        <w:rPr>
          <w:rFonts w:ascii="Tahoma" w:eastAsia="Times New Roman" w:hAnsi="Tahoma" w:cs="Tahoma"/>
          <w:sz w:val="24"/>
          <w:szCs w:val="24"/>
        </w:rPr>
        <w:t xml:space="preserve"> et de la chefferie de </w:t>
      </w:r>
      <w:proofErr w:type="spellStart"/>
      <w:r w:rsidRPr="006706F3">
        <w:rPr>
          <w:rFonts w:ascii="Tahoma" w:eastAsia="Times New Roman" w:hAnsi="Tahoma" w:cs="Tahoma"/>
          <w:sz w:val="24"/>
          <w:szCs w:val="24"/>
        </w:rPr>
        <w:t>Bunkeya</w:t>
      </w:r>
      <w:proofErr w:type="spellEnd"/>
      <w:r w:rsidRPr="006706F3">
        <w:rPr>
          <w:rFonts w:ascii="Tahoma" w:eastAsia="Times New Roman" w:hAnsi="Tahoma" w:cs="Tahoma"/>
          <w:sz w:val="24"/>
          <w:szCs w:val="24"/>
        </w:rPr>
        <w:t xml:space="preserve">. « La plupart des habitants de cette </w:t>
      </w:r>
      <w:r w:rsidRPr="006706F3">
        <w:rPr>
          <w:rFonts w:ascii="Tahoma" w:eastAsia="Times New Roman" w:hAnsi="Tahoma" w:cs="Tahoma"/>
          <w:sz w:val="24"/>
          <w:szCs w:val="24"/>
        </w:rPr>
        <w:lastRenderedPageBreak/>
        <w:t>commune souhaitaient voir des écoles, des routes ou encore l’accès à l’eau potable. Et cela cause des frustrations », assure-t-il.</w:t>
      </w:r>
    </w:p>
    <w:p w14:paraId="7D39D5D1" w14:textId="77777777" w:rsidR="007F7FD3" w:rsidRPr="006706F3" w:rsidRDefault="00B777B4" w:rsidP="00F35D7D">
      <w:pPr>
        <w:pStyle w:val="Normal1"/>
        <w:spacing w:after="160" w:line="240" w:lineRule="auto"/>
        <w:jc w:val="both"/>
        <w:rPr>
          <w:rFonts w:ascii="Tahoma" w:eastAsia="Times New Roman" w:hAnsi="Tahoma" w:cs="Tahoma"/>
          <w:sz w:val="24"/>
          <w:szCs w:val="24"/>
          <w:highlight w:val="white"/>
        </w:rPr>
      </w:pPr>
      <w:r w:rsidRPr="006706F3">
        <w:rPr>
          <w:rFonts w:ascii="Tahoma" w:eastAsia="Times New Roman" w:hAnsi="Tahoma" w:cs="Tahoma"/>
          <w:sz w:val="24"/>
          <w:szCs w:val="24"/>
        </w:rPr>
        <w:t xml:space="preserve">Face à cette opacité, l’avocat King </w:t>
      </w:r>
      <w:proofErr w:type="spellStart"/>
      <w:r w:rsidRPr="006706F3">
        <w:rPr>
          <w:rFonts w:ascii="Tahoma" w:eastAsia="Times New Roman" w:hAnsi="Tahoma" w:cs="Tahoma"/>
          <w:sz w:val="24"/>
          <w:szCs w:val="24"/>
        </w:rPr>
        <w:t>Mushilanama</w:t>
      </w:r>
      <w:proofErr w:type="spellEnd"/>
      <w:r w:rsidRPr="006706F3">
        <w:rPr>
          <w:rFonts w:ascii="Tahoma" w:eastAsia="Times New Roman" w:hAnsi="Tahoma" w:cs="Tahoma"/>
          <w:sz w:val="24"/>
          <w:szCs w:val="24"/>
        </w:rPr>
        <w:t xml:space="preserve"> qui dirige l’ONG Humanisme et Droits Humains avait initié une plainte contre les communes Annexe, </w:t>
      </w:r>
      <w:proofErr w:type="spellStart"/>
      <w:r w:rsidRPr="006706F3">
        <w:rPr>
          <w:rFonts w:ascii="Tahoma" w:eastAsia="Times New Roman" w:hAnsi="Tahoma" w:cs="Tahoma"/>
          <w:sz w:val="24"/>
          <w:szCs w:val="24"/>
        </w:rPr>
        <w:t>Ruashi</w:t>
      </w:r>
      <w:proofErr w:type="spellEnd"/>
      <w:r w:rsidRPr="006706F3">
        <w:rPr>
          <w:rFonts w:ascii="Tahoma" w:eastAsia="Times New Roman" w:hAnsi="Tahoma" w:cs="Tahoma"/>
          <w:sz w:val="24"/>
          <w:szCs w:val="24"/>
        </w:rPr>
        <w:t xml:space="preserve"> et Kampemba, en novembre 2019 à Lubumbashi. Pour « </w:t>
      </w:r>
      <w:r w:rsidRPr="006706F3">
        <w:rPr>
          <w:rFonts w:ascii="Tahoma" w:eastAsia="Times New Roman" w:hAnsi="Tahoma" w:cs="Tahoma"/>
          <w:sz w:val="24"/>
          <w:szCs w:val="24"/>
          <w:highlight w:val="white"/>
        </w:rPr>
        <w:t>Un puits qu’on peut forer pour deux ou trois mille dollars, on nous présente un coût de plus de vingt mille dollars américains. On comprend que derrière cette affectation, il y a une rétro commission, une érosion financière », déplorait-il.</w:t>
      </w:r>
    </w:p>
    <w:p w14:paraId="2ECCA87D" w14:textId="77777777" w:rsidR="007F7FD3" w:rsidRPr="006706F3" w:rsidRDefault="00B777B4" w:rsidP="00F35D7D">
      <w:pPr>
        <w:pStyle w:val="Normal1"/>
        <w:spacing w:after="160" w:line="240" w:lineRule="auto"/>
        <w:jc w:val="both"/>
        <w:rPr>
          <w:rFonts w:ascii="Tahoma" w:eastAsia="Times New Roman" w:hAnsi="Tahoma" w:cs="Tahoma"/>
          <w:sz w:val="24"/>
          <w:szCs w:val="24"/>
        </w:rPr>
      </w:pPr>
      <w:r w:rsidRPr="006706F3">
        <w:rPr>
          <w:rFonts w:ascii="Tahoma" w:eastAsia="Times New Roman" w:hAnsi="Tahoma" w:cs="Tahoma"/>
          <w:sz w:val="24"/>
          <w:szCs w:val="24"/>
          <w:highlight w:val="white"/>
        </w:rPr>
        <w:t xml:space="preserve">Mais sa plainte, qui avait suscité un tollé à Lubumbashi, est passée curieusement </w:t>
      </w:r>
      <w:r w:rsidR="00CA1CE7" w:rsidRPr="006706F3">
        <w:rPr>
          <w:rFonts w:ascii="Tahoma" w:eastAsia="Times New Roman" w:hAnsi="Tahoma" w:cs="Tahoma"/>
          <w:sz w:val="24"/>
          <w:szCs w:val="24"/>
          <w:highlight w:val="white"/>
        </w:rPr>
        <w:t>aux</w:t>
      </w:r>
      <w:r w:rsidRPr="006706F3">
        <w:rPr>
          <w:rFonts w:ascii="Tahoma" w:eastAsia="Times New Roman" w:hAnsi="Tahoma" w:cs="Tahoma"/>
          <w:sz w:val="24"/>
          <w:szCs w:val="24"/>
          <w:highlight w:val="white"/>
        </w:rPr>
        <w:t xml:space="preserve"> oubliettes. Aujourd’hui, il assure n’avoir jamais été payé pour son silence</w:t>
      </w:r>
      <w:r w:rsidR="00C51857" w:rsidRPr="006706F3">
        <w:rPr>
          <w:rFonts w:ascii="Tahoma" w:eastAsia="Times New Roman" w:hAnsi="Tahoma" w:cs="Tahoma"/>
          <w:sz w:val="24"/>
          <w:szCs w:val="24"/>
          <w:highlight w:val="white"/>
        </w:rPr>
        <w:t xml:space="preserve"> malgré les soupçons</w:t>
      </w:r>
      <w:r w:rsidR="000A0DC6" w:rsidRPr="006706F3">
        <w:rPr>
          <w:rFonts w:ascii="Tahoma" w:eastAsia="Times New Roman" w:hAnsi="Tahoma" w:cs="Tahoma"/>
          <w:sz w:val="24"/>
          <w:szCs w:val="24"/>
          <w:highlight w:val="white"/>
        </w:rPr>
        <w:t xml:space="preserve"> dans ce sens</w:t>
      </w:r>
      <w:r w:rsidRPr="006706F3">
        <w:rPr>
          <w:rFonts w:ascii="Tahoma" w:eastAsia="Times New Roman" w:hAnsi="Tahoma" w:cs="Tahoma"/>
          <w:sz w:val="24"/>
          <w:szCs w:val="24"/>
          <w:highlight w:val="white"/>
        </w:rPr>
        <w:t xml:space="preserve">. </w:t>
      </w:r>
      <w:r w:rsidR="00BC7A28" w:rsidRPr="006706F3">
        <w:rPr>
          <w:rFonts w:ascii="Tahoma" w:eastAsia="Times New Roman" w:hAnsi="Tahoma" w:cs="Tahoma"/>
          <w:sz w:val="24"/>
          <w:szCs w:val="24"/>
        </w:rPr>
        <w:t>« </w:t>
      </w:r>
      <w:r w:rsidRPr="006706F3">
        <w:rPr>
          <w:rFonts w:ascii="Tahoma" w:eastAsia="Times New Roman" w:hAnsi="Tahoma" w:cs="Tahoma"/>
          <w:sz w:val="24"/>
          <w:szCs w:val="24"/>
        </w:rPr>
        <w:t xml:space="preserve">Le dossier a été gelé plutôt par les autorités provinciales en collaboration avec le PG [Procureur Général, ndlr] sortant. Certains magistrats nous ont même dit : "le </w:t>
      </w:r>
      <w:proofErr w:type="spellStart"/>
      <w:r w:rsidRPr="006706F3">
        <w:rPr>
          <w:rFonts w:ascii="Tahoma" w:eastAsia="Times New Roman" w:hAnsi="Tahoma" w:cs="Tahoma"/>
          <w:sz w:val="24"/>
          <w:szCs w:val="24"/>
        </w:rPr>
        <w:t>bakubwa</w:t>
      </w:r>
      <w:proofErr w:type="spellEnd"/>
      <w:r w:rsidRPr="006706F3">
        <w:rPr>
          <w:rFonts w:ascii="Tahoma" w:eastAsia="Times New Roman" w:hAnsi="Tahoma" w:cs="Tahoma"/>
          <w:sz w:val="24"/>
          <w:szCs w:val="24"/>
        </w:rPr>
        <w:t xml:space="preserve"> [du Swahili : les chefs, ndlr] ont joué sur le dossier" » s’explique-t-il sans s’avouer vaincu : « Le dossier continue »,</w:t>
      </w:r>
    </w:p>
    <w:p w14:paraId="7C689D19" w14:textId="77777777" w:rsidR="007F7FD3" w:rsidRPr="006706F3" w:rsidRDefault="00B777B4" w:rsidP="00F35D7D">
      <w:pPr>
        <w:pStyle w:val="Normal1"/>
        <w:spacing w:after="160" w:line="240" w:lineRule="auto"/>
        <w:jc w:val="both"/>
        <w:rPr>
          <w:rFonts w:ascii="Tahoma" w:eastAsia="Times New Roman" w:hAnsi="Tahoma" w:cs="Tahoma"/>
          <w:b/>
          <w:sz w:val="24"/>
          <w:szCs w:val="24"/>
        </w:rPr>
      </w:pPr>
      <w:r w:rsidRPr="006706F3">
        <w:rPr>
          <w:rFonts w:ascii="Tahoma" w:eastAsia="Times New Roman" w:hAnsi="Tahoma" w:cs="Tahoma"/>
          <w:b/>
          <w:sz w:val="24"/>
          <w:szCs w:val="24"/>
        </w:rPr>
        <w:t>Des ententes contraires à la loi dans le Lualaba et le Haut-Katanga</w:t>
      </w:r>
    </w:p>
    <w:p w14:paraId="545FB22E" w14:textId="77777777" w:rsidR="007F7FD3" w:rsidRPr="006706F3" w:rsidRDefault="00B777B4" w:rsidP="00F35D7D">
      <w:pPr>
        <w:pStyle w:val="Normal1"/>
        <w:spacing w:after="160" w:line="240" w:lineRule="auto"/>
        <w:jc w:val="both"/>
        <w:rPr>
          <w:rFonts w:ascii="Tahoma" w:eastAsia="Times New Roman" w:hAnsi="Tahoma" w:cs="Tahoma"/>
          <w:sz w:val="24"/>
          <w:szCs w:val="24"/>
        </w:rPr>
      </w:pPr>
      <w:r w:rsidRPr="006706F3">
        <w:rPr>
          <w:rFonts w:ascii="Tahoma" w:eastAsia="Times New Roman" w:hAnsi="Tahoma" w:cs="Tahoma"/>
          <w:sz w:val="24"/>
          <w:szCs w:val="24"/>
        </w:rPr>
        <w:t>Même l’Eglise catholique est sortie de son silence pour dénoncer des ententes qui ont pour conséquence les détournements des fonds. A la 4</w:t>
      </w:r>
      <w:r w:rsidRPr="006706F3">
        <w:rPr>
          <w:rFonts w:ascii="Tahoma" w:eastAsia="Times New Roman" w:hAnsi="Tahoma" w:cs="Tahoma"/>
          <w:sz w:val="24"/>
          <w:szCs w:val="24"/>
          <w:vertAlign w:val="superscript"/>
        </w:rPr>
        <w:t>e</w:t>
      </w:r>
      <w:r w:rsidRPr="006706F3">
        <w:rPr>
          <w:rFonts w:ascii="Tahoma" w:eastAsia="Times New Roman" w:hAnsi="Tahoma" w:cs="Tahoma"/>
          <w:sz w:val="24"/>
          <w:szCs w:val="24"/>
        </w:rPr>
        <w:t xml:space="preserve"> édition du forum Alternative Mining Indaba en RDC en 2020, l’archevêque Jean-Pierre </w:t>
      </w:r>
      <w:proofErr w:type="spellStart"/>
      <w:r w:rsidRPr="006706F3">
        <w:rPr>
          <w:rFonts w:ascii="Tahoma" w:eastAsia="Times New Roman" w:hAnsi="Tahoma" w:cs="Tahoma"/>
          <w:sz w:val="24"/>
          <w:szCs w:val="24"/>
        </w:rPr>
        <w:t>Tafunga</w:t>
      </w:r>
      <w:proofErr w:type="spellEnd"/>
      <w:r w:rsidRPr="006706F3">
        <w:rPr>
          <w:rFonts w:ascii="Tahoma" w:eastAsia="Times New Roman" w:hAnsi="Tahoma" w:cs="Tahoma"/>
          <w:sz w:val="24"/>
          <w:szCs w:val="24"/>
        </w:rPr>
        <w:t xml:space="preserve"> dénonçait le manque de contrôle et l’impunité. « On fait apparemment ce qui ne devrait pas être fait réellement », s’indignait le prélat catholique dans un message lu à la conférence.</w:t>
      </w:r>
    </w:p>
    <w:p w14:paraId="76437057" w14:textId="25B42133" w:rsidR="007F7FD3" w:rsidRDefault="00B777B4" w:rsidP="00F35D7D">
      <w:pPr>
        <w:pStyle w:val="Normal1"/>
        <w:spacing w:after="160" w:line="240" w:lineRule="auto"/>
        <w:jc w:val="both"/>
        <w:rPr>
          <w:rFonts w:ascii="Tahoma" w:eastAsia="Times New Roman" w:hAnsi="Tahoma" w:cs="Tahoma"/>
          <w:sz w:val="24"/>
          <w:szCs w:val="24"/>
        </w:rPr>
      </w:pPr>
      <w:r w:rsidRPr="006706F3">
        <w:rPr>
          <w:rFonts w:ascii="Tahoma" w:eastAsia="Times New Roman" w:hAnsi="Tahoma" w:cs="Tahoma"/>
          <w:sz w:val="24"/>
          <w:szCs w:val="24"/>
        </w:rPr>
        <w:t xml:space="preserve">Les ETD, communes, territoires et chefferies, sont au départ de toutes petites entités qui, avant la réforme de 2018 de la loi minière, vivaient de petites taxes (sur les étalages aux marchés communaux, sur des vélos, etc.) et sous l’autorité quasiment écrasante des administrations provinciales. Pour la première fois, elles ont accès à des millions de dollars le mois ou sur le trimestre. </w:t>
      </w:r>
    </w:p>
    <w:p w14:paraId="0A6A736D" w14:textId="77777777" w:rsidR="006706F3" w:rsidRPr="006706F3" w:rsidRDefault="006706F3" w:rsidP="00F35D7D">
      <w:pPr>
        <w:pStyle w:val="Normal1"/>
        <w:spacing w:after="160" w:line="240" w:lineRule="auto"/>
        <w:jc w:val="both"/>
        <w:rPr>
          <w:rFonts w:ascii="Tahoma" w:eastAsia="Times New Roman" w:hAnsi="Tahoma" w:cs="Tahoma"/>
          <w:sz w:val="24"/>
          <w:szCs w:val="24"/>
        </w:rPr>
      </w:pPr>
    </w:p>
    <w:p w14:paraId="1439AD73" w14:textId="77777777" w:rsidR="004866A3" w:rsidRPr="00F35D7D" w:rsidRDefault="004866A3" w:rsidP="00F35D7D">
      <w:pPr>
        <w:pStyle w:val="Normal1"/>
        <w:spacing w:after="160" w:line="240" w:lineRule="auto"/>
        <w:jc w:val="both"/>
        <w:rPr>
          <w:rFonts w:ascii="Tahoma" w:eastAsia="Times New Roman" w:hAnsi="Tahoma" w:cs="Tahoma"/>
          <w:sz w:val="24"/>
          <w:szCs w:val="24"/>
          <w:highlight w:val="white"/>
        </w:rPr>
      </w:pPr>
      <w:r w:rsidRPr="00F35D7D">
        <w:rPr>
          <w:rFonts w:ascii="Tahoma" w:eastAsia="Times New Roman" w:hAnsi="Tahoma" w:cs="Tahoma"/>
          <w:noProof/>
          <w:sz w:val="24"/>
          <w:szCs w:val="24"/>
          <w:lang w:val="en-US" w:eastAsia="en-US"/>
        </w:rPr>
        <w:lastRenderedPageBreak/>
        <w:drawing>
          <wp:inline distT="0" distB="0" distL="0" distR="0" wp14:anchorId="71267F90" wp14:editId="105A525F">
            <wp:extent cx="5363226" cy="4183380"/>
            <wp:effectExtent l="0" t="590550" r="0" b="579120"/>
            <wp:docPr id="4" name="Image 4" descr="C:\Users\hp\Documents\Internews\Pool-Production\Extrait Rapport Makuta Ya Congo, Nov.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cuments\Internews\Pool-Production\Extrait Rapport Makuta Ya Congo, Nov. 2020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5428922" cy="4234624"/>
                    </a:xfrm>
                    <a:prstGeom prst="rect">
                      <a:avLst/>
                    </a:prstGeom>
                    <a:noFill/>
                    <a:ln>
                      <a:noFill/>
                    </a:ln>
                  </pic:spPr>
                </pic:pic>
              </a:graphicData>
            </a:graphic>
          </wp:inline>
        </w:drawing>
      </w:r>
    </w:p>
    <w:p w14:paraId="587DF744" w14:textId="77777777" w:rsidR="006706F3" w:rsidRDefault="006706F3" w:rsidP="00F35D7D">
      <w:pPr>
        <w:pStyle w:val="Normal1"/>
        <w:spacing w:after="160" w:line="240" w:lineRule="auto"/>
        <w:jc w:val="both"/>
        <w:rPr>
          <w:rFonts w:ascii="Tahoma" w:eastAsia="Times New Roman" w:hAnsi="Tahoma" w:cs="Tahoma"/>
          <w:sz w:val="24"/>
          <w:szCs w:val="24"/>
        </w:rPr>
      </w:pPr>
    </w:p>
    <w:p w14:paraId="03BFC15D" w14:textId="30DAE488" w:rsidR="007F7FD3" w:rsidRPr="00F35D7D" w:rsidRDefault="00B777B4" w:rsidP="00F35D7D">
      <w:pPr>
        <w:pStyle w:val="Normal1"/>
        <w:spacing w:after="160" w:line="240" w:lineRule="auto"/>
        <w:jc w:val="both"/>
        <w:rPr>
          <w:rFonts w:ascii="Tahoma" w:eastAsia="Times New Roman" w:hAnsi="Tahoma" w:cs="Tahoma"/>
          <w:sz w:val="24"/>
          <w:szCs w:val="24"/>
        </w:rPr>
      </w:pPr>
      <w:r w:rsidRPr="00F35D7D">
        <w:rPr>
          <w:rFonts w:ascii="Tahoma" w:eastAsia="Times New Roman" w:hAnsi="Tahoma" w:cs="Tahoma"/>
          <w:sz w:val="24"/>
          <w:szCs w:val="24"/>
        </w:rPr>
        <w:t xml:space="preserve">Or, les communes, territoires et chefferies ont signé des ententes secrètes, dans un premier temps, avec les administrations provinciales. Des sources concordantes assurent que la province y prend 25%, la ville 10% (en ce qui concerne Lubumbashi et Kolwezi, par exemple), la division provinciale des mines 5%, la caisse provinciale de péréquation 10%, etc. Pourtant, cette </w:t>
      </w:r>
      <w:hyperlink r:id="rId9">
        <w:r w:rsidRPr="00F35D7D">
          <w:rPr>
            <w:rFonts w:ascii="Tahoma" w:eastAsia="Times New Roman" w:hAnsi="Tahoma" w:cs="Tahoma"/>
            <w:sz w:val="24"/>
            <w:szCs w:val="24"/>
          </w:rPr>
          <w:t>convention est manifestement illégale</w:t>
        </w:r>
      </w:hyperlink>
      <w:r w:rsidRPr="00F35D7D">
        <w:rPr>
          <w:rFonts w:ascii="Tahoma" w:eastAsia="Times New Roman" w:hAnsi="Tahoma" w:cs="Tahoma"/>
          <w:sz w:val="24"/>
          <w:szCs w:val="24"/>
        </w:rPr>
        <w:t>, puisque non reconnue par la loi. Nous n’avons malheureusement pas pu autrement vérifier cette répartition auprès des sources officielles, plusieurs refusant de se prononcer sur la question.</w:t>
      </w:r>
    </w:p>
    <w:p w14:paraId="6E69C32E" w14:textId="77777777" w:rsidR="00DE2D33" w:rsidRPr="006706F3" w:rsidRDefault="00B777B4" w:rsidP="00F35D7D">
      <w:pPr>
        <w:pStyle w:val="Normal1"/>
        <w:spacing w:after="160" w:line="240" w:lineRule="auto"/>
        <w:jc w:val="both"/>
        <w:rPr>
          <w:rFonts w:ascii="Tahoma" w:eastAsia="Times New Roman" w:hAnsi="Tahoma" w:cs="Tahoma"/>
          <w:sz w:val="24"/>
          <w:szCs w:val="24"/>
        </w:rPr>
      </w:pPr>
      <w:r w:rsidRPr="006706F3">
        <w:rPr>
          <w:rFonts w:ascii="Tahoma" w:eastAsia="Times New Roman" w:hAnsi="Tahoma" w:cs="Tahoma"/>
          <w:sz w:val="24"/>
          <w:szCs w:val="24"/>
        </w:rPr>
        <w:t xml:space="preserve">Mais pour Jean-Pierre </w:t>
      </w:r>
      <w:proofErr w:type="spellStart"/>
      <w:r w:rsidRPr="006706F3">
        <w:rPr>
          <w:rFonts w:ascii="Tahoma" w:eastAsia="Times New Roman" w:hAnsi="Tahoma" w:cs="Tahoma"/>
          <w:sz w:val="24"/>
          <w:szCs w:val="24"/>
        </w:rPr>
        <w:t>Muteba</w:t>
      </w:r>
      <w:proofErr w:type="spellEnd"/>
      <w:r w:rsidRPr="006706F3">
        <w:rPr>
          <w:rFonts w:ascii="Tahoma" w:eastAsia="Times New Roman" w:hAnsi="Tahoma" w:cs="Tahoma"/>
          <w:sz w:val="24"/>
          <w:szCs w:val="24"/>
        </w:rPr>
        <w:t xml:space="preserve">, acteur de la société civile, cette pratique relève d’un vol organisé. « Toute répartition qui ne respecte pas le code minier et le règlement minier est un détournement pur et simple des recettes, prévient-il. Nous avons vu naître des cabinets, des salaires faramineux, des véhicules, … mais maintenant il faut que ça </w:t>
      </w:r>
      <w:r w:rsidRPr="006706F3">
        <w:rPr>
          <w:rFonts w:ascii="Tahoma" w:eastAsia="Times New Roman" w:hAnsi="Tahoma" w:cs="Tahoma"/>
          <w:sz w:val="24"/>
          <w:szCs w:val="24"/>
        </w:rPr>
        <w:lastRenderedPageBreak/>
        <w:t>s’arrête. Les autorités provinciales devraient nous dire à quoi sert cet argent. Et ce n’est pas une chasse à la sorcière. »</w:t>
      </w:r>
    </w:p>
    <w:p w14:paraId="6A71B6F7" w14:textId="77777777" w:rsidR="007F7FD3" w:rsidRPr="006706F3" w:rsidRDefault="00B777B4" w:rsidP="00F35D7D">
      <w:pPr>
        <w:pStyle w:val="Normal1"/>
        <w:spacing w:after="160" w:line="240" w:lineRule="auto"/>
        <w:jc w:val="both"/>
        <w:rPr>
          <w:rFonts w:ascii="Tahoma" w:eastAsia="Times New Roman" w:hAnsi="Tahoma" w:cs="Tahoma"/>
          <w:b/>
          <w:sz w:val="24"/>
          <w:szCs w:val="24"/>
        </w:rPr>
      </w:pPr>
      <w:r w:rsidRPr="006706F3">
        <w:rPr>
          <w:rFonts w:ascii="Tahoma" w:eastAsia="Times New Roman" w:hAnsi="Tahoma" w:cs="Tahoma"/>
          <w:b/>
          <w:sz w:val="24"/>
          <w:szCs w:val="24"/>
        </w:rPr>
        <w:t>Un « casse-tête à résoudre</w:t>
      </w:r>
      <w:r w:rsidR="00C7627C" w:rsidRPr="006706F3">
        <w:rPr>
          <w:rFonts w:ascii="Tahoma" w:eastAsia="Times New Roman" w:hAnsi="Tahoma" w:cs="Tahoma"/>
          <w:b/>
          <w:sz w:val="24"/>
          <w:szCs w:val="24"/>
        </w:rPr>
        <w:t> »</w:t>
      </w:r>
    </w:p>
    <w:p w14:paraId="27851A4B" w14:textId="77777777" w:rsidR="007F7FD3" w:rsidRPr="006706F3" w:rsidRDefault="00B777B4" w:rsidP="00F35D7D">
      <w:pPr>
        <w:pStyle w:val="Normal1"/>
        <w:spacing w:after="160" w:line="240" w:lineRule="auto"/>
        <w:jc w:val="both"/>
        <w:rPr>
          <w:rFonts w:ascii="Tahoma" w:eastAsia="Times New Roman" w:hAnsi="Tahoma" w:cs="Tahoma"/>
          <w:sz w:val="24"/>
          <w:szCs w:val="24"/>
        </w:rPr>
      </w:pPr>
      <w:r w:rsidRPr="006706F3">
        <w:rPr>
          <w:rFonts w:ascii="Tahoma" w:eastAsia="Times New Roman" w:hAnsi="Tahoma" w:cs="Tahoma"/>
          <w:sz w:val="24"/>
          <w:szCs w:val="24"/>
        </w:rPr>
        <w:t xml:space="preserve">Dans son rapport de 2020, le consortium </w:t>
      </w:r>
      <w:proofErr w:type="spellStart"/>
      <w:r w:rsidRPr="006706F3">
        <w:rPr>
          <w:rFonts w:ascii="Tahoma" w:eastAsia="Times New Roman" w:hAnsi="Tahoma" w:cs="Tahoma"/>
          <w:sz w:val="24"/>
          <w:szCs w:val="24"/>
        </w:rPr>
        <w:t>Makuta</w:t>
      </w:r>
      <w:proofErr w:type="spellEnd"/>
      <w:r w:rsidRPr="006706F3">
        <w:rPr>
          <w:rFonts w:ascii="Tahoma" w:eastAsia="Times New Roman" w:hAnsi="Tahoma" w:cs="Tahoma"/>
          <w:sz w:val="24"/>
          <w:szCs w:val="24"/>
        </w:rPr>
        <w:t xml:space="preserve"> </w:t>
      </w:r>
      <w:proofErr w:type="spellStart"/>
      <w:r w:rsidRPr="006706F3">
        <w:rPr>
          <w:rFonts w:ascii="Tahoma" w:eastAsia="Times New Roman" w:hAnsi="Tahoma" w:cs="Tahoma"/>
          <w:sz w:val="24"/>
          <w:szCs w:val="24"/>
        </w:rPr>
        <w:t>ya</w:t>
      </w:r>
      <w:proofErr w:type="spellEnd"/>
      <w:r w:rsidRPr="006706F3">
        <w:rPr>
          <w:rFonts w:ascii="Tahoma" w:eastAsia="Times New Roman" w:hAnsi="Tahoma" w:cs="Tahoma"/>
          <w:sz w:val="24"/>
          <w:szCs w:val="24"/>
        </w:rPr>
        <w:t xml:space="preserve"> Congo » qui se traduit du swahili par « l’argent du Congo », décrit « un casse-tête à résoudre », en termes de gestion de la redevance minière. Difficile d’identifier les comptes bancaires où logent les fonds de la redevance minière, alors que dans le Lualaba et le Haut-Katanga, les ETD ont perçu plus de 90% de la redevance minière depuis l’entrée en vigueur du code minier révisé jusqu’à décembre 2019, indique le rapport.</w:t>
      </w:r>
    </w:p>
    <w:p w14:paraId="384E6CB0" w14:textId="77777777" w:rsidR="00C220B8" w:rsidRPr="00F35D7D" w:rsidRDefault="00C220B8" w:rsidP="00F35D7D">
      <w:pPr>
        <w:pStyle w:val="Normal1"/>
        <w:spacing w:after="160" w:line="240" w:lineRule="auto"/>
        <w:jc w:val="both"/>
        <w:rPr>
          <w:rFonts w:ascii="Tahoma" w:eastAsia="Times New Roman" w:hAnsi="Tahoma" w:cs="Tahoma"/>
          <w:sz w:val="24"/>
          <w:szCs w:val="24"/>
        </w:rPr>
      </w:pPr>
      <w:r w:rsidRPr="00F35D7D">
        <w:rPr>
          <w:rFonts w:ascii="Tahoma" w:eastAsia="Times New Roman" w:hAnsi="Tahoma" w:cs="Tahoma"/>
          <w:noProof/>
          <w:sz w:val="24"/>
          <w:szCs w:val="24"/>
          <w:lang w:val="en-US" w:eastAsia="en-US"/>
        </w:rPr>
        <w:drawing>
          <wp:inline distT="0" distB="0" distL="0" distR="0" wp14:anchorId="1C041BF2" wp14:editId="64B0CD95">
            <wp:extent cx="5944590" cy="4150800"/>
            <wp:effectExtent l="0" t="895350" r="0" b="878840"/>
            <wp:docPr id="5" name="Image 5" descr="C:\Users\hp\Documents\Internews\Pool-Production\Extrait Rapport Makuta Ya Congo, Nov.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cuments\Internews\Pool-Production\Extrait Rapport Makuta Ya Congo, Nov. 20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944590" cy="4150800"/>
                    </a:xfrm>
                    <a:prstGeom prst="rect">
                      <a:avLst/>
                    </a:prstGeom>
                    <a:noFill/>
                    <a:ln>
                      <a:noFill/>
                    </a:ln>
                  </pic:spPr>
                </pic:pic>
              </a:graphicData>
            </a:graphic>
          </wp:inline>
        </w:drawing>
      </w:r>
    </w:p>
    <w:p w14:paraId="03035677" w14:textId="77777777" w:rsidR="006706F3" w:rsidRDefault="006706F3" w:rsidP="00F35D7D">
      <w:pPr>
        <w:pStyle w:val="Heading2"/>
        <w:keepNext w:val="0"/>
        <w:keepLines w:val="0"/>
        <w:shd w:val="clear" w:color="auto" w:fill="FFFFFF"/>
        <w:spacing w:before="0" w:after="280" w:line="240" w:lineRule="auto"/>
        <w:jc w:val="both"/>
        <w:rPr>
          <w:rFonts w:ascii="Tahoma" w:eastAsia="Times New Roman" w:hAnsi="Tahoma" w:cs="Tahoma"/>
          <w:sz w:val="24"/>
          <w:szCs w:val="24"/>
        </w:rPr>
      </w:pPr>
    </w:p>
    <w:p w14:paraId="33AC73AE" w14:textId="345D86A6" w:rsidR="004866A3" w:rsidRPr="006706F3" w:rsidRDefault="00B777B4" w:rsidP="00F35D7D">
      <w:pPr>
        <w:pStyle w:val="Heading2"/>
        <w:keepNext w:val="0"/>
        <w:keepLines w:val="0"/>
        <w:shd w:val="clear" w:color="auto" w:fill="FFFFFF"/>
        <w:spacing w:before="0" w:after="280" w:line="240" w:lineRule="auto"/>
        <w:jc w:val="both"/>
        <w:rPr>
          <w:rFonts w:ascii="Tahoma" w:eastAsia="Times New Roman" w:hAnsi="Tahoma" w:cs="Tahoma"/>
          <w:sz w:val="24"/>
          <w:szCs w:val="24"/>
        </w:rPr>
      </w:pPr>
      <w:r w:rsidRPr="006706F3">
        <w:rPr>
          <w:rFonts w:ascii="Tahoma" w:eastAsia="Times New Roman" w:hAnsi="Tahoma" w:cs="Tahoma"/>
          <w:sz w:val="24"/>
          <w:szCs w:val="24"/>
        </w:rPr>
        <w:lastRenderedPageBreak/>
        <w:t>En outre, entre juillet 2018 et décembre 2019, les ETD de la RDC attendaient une injection financière de 121 millions de dollars américains de redevance minière dont l’essentiel, soit 93% selon le consortium précité, revenait aux seules provinces du Lualaba et du Haut-Katanga. Pourtant, il est demeuré difficile d’identifier certaines entités qui perçoivent ces paiements, faute ou à cause de la mauvaise cart</w:t>
      </w:r>
      <w:r w:rsidR="007D2CEC" w:rsidRPr="006706F3">
        <w:rPr>
          <w:rFonts w:ascii="Tahoma" w:eastAsia="Times New Roman" w:hAnsi="Tahoma" w:cs="Tahoma"/>
          <w:sz w:val="24"/>
          <w:szCs w:val="24"/>
        </w:rPr>
        <w:t>ographie, selon la même source.</w:t>
      </w:r>
    </w:p>
    <w:p w14:paraId="79DEA895" w14:textId="77777777" w:rsidR="00614784" w:rsidRPr="00F35D7D" w:rsidRDefault="00B777B4" w:rsidP="00F35D7D">
      <w:pPr>
        <w:pStyle w:val="Heading2"/>
        <w:keepNext w:val="0"/>
        <w:keepLines w:val="0"/>
        <w:shd w:val="clear" w:color="auto" w:fill="FFFFFF"/>
        <w:spacing w:before="0" w:after="280" w:line="240" w:lineRule="auto"/>
        <w:jc w:val="both"/>
        <w:rPr>
          <w:rFonts w:ascii="Tahoma" w:eastAsia="Times New Roman" w:hAnsi="Tahoma" w:cs="Tahoma"/>
          <w:sz w:val="24"/>
          <w:szCs w:val="24"/>
        </w:rPr>
      </w:pPr>
      <w:r w:rsidRPr="00F35D7D">
        <w:rPr>
          <w:rFonts w:ascii="Tahoma" w:eastAsia="Times New Roman" w:hAnsi="Tahoma" w:cs="Tahoma"/>
          <w:sz w:val="24"/>
          <w:szCs w:val="24"/>
        </w:rPr>
        <w:t xml:space="preserve">Parfois, il s’agit carrément d’une délimitation imprécise, qui fait que des entités proches se disputent le droit de percevoir les paiements des sociétés minières qu’elles considèrent implantées chez elles. En outre, certaines ETD à l’instar de la commune de </w:t>
      </w:r>
      <w:proofErr w:type="spellStart"/>
      <w:r w:rsidRPr="00F35D7D">
        <w:rPr>
          <w:rFonts w:ascii="Tahoma" w:eastAsia="Times New Roman" w:hAnsi="Tahoma" w:cs="Tahoma"/>
          <w:sz w:val="24"/>
          <w:szCs w:val="24"/>
        </w:rPr>
        <w:t>Dilala</w:t>
      </w:r>
      <w:proofErr w:type="spellEnd"/>
      <w:r w:rsidRPr="00F35D7D">
        <w:rPr>
          <w:rFonts w:ascii="Tahoma" w:eastAsia="Times New Roman" w:hAnsi="Tahoma" w:cs="Tahoma"/>
          <w:sz w:val="24"/>
          <w:szCs w:val="24"/>
        </w:rPr>
        <w:t xml:space="preserve"> à Kolwezi, sont contraintes de partager avec d’autres des paiements reçus au titre de solidarité. Le problème c’est que cette générosité ne permet pas aux entités concernées de s’assurer que les fonds octroyés aux entités de même niveau qu’elles ou de niveau supérieur sont bien gérés.  Et la loi ne l’a pas ainsi prévu. Ainsi, déplore un agent de l’administration d’une commune locale à Kolwezi, certains projets qui relèvent de la responsabilité de la ville ou de la province sont abandonnés aux ETD qui perçoivent ce précieux sésame.</w:t>
      </w:r>
    </w:p>
    <w:p w14:paraId="6DF65C2E" w14:textId="77777777" w:rsidR="005741F9" w:rsidRPr="006706F3" w:rsidRDefault="00B777B4" w:rsidP="00F35D7D">
      <w:pPr>
        <w:pStyle w:val="Heading2"/>
        <w:keepNext w:val="0"/>
        <w:keepLines w:val="0"/>
        <w:shd w:val="clear" w:color="auto" w:fill="FFFFFF"/>
        <w:spacing w:before="0" w:after="280" w:line="240" w:lineRule="auto"/>
        <w:jc w:val="both"/>
        <w:rPr>
          <w:rFonts w:ascii="Tahoma" w:eastAsia="Times New Roman" w:hAnsi="Tahoma" w:cs="Tahoma"/>
          <w:sz w:val="24"/>
          <w:szCs w:val="24"/>
        </w:rPr>
      </w:pPr>
      <w:r w:rsidRPr="006706F3">
        <w:rPr>
          <w:rFonts w:ascii="Tahoma" w:eastAsia="Times New Roman" w:hAnsi="Tahoma" w:cs="Tahoma"/>
          <w:sz w:val="24"/>
          <w:szCs w:val="24"/>
        </w:rPr>
        <w:t>Faute d’élections locales et municipales, les conseils urbains et municipaux, instances de contrôle de la gestion des ETD ne sont pas encore mis en place en ce jour. Et les chefs des ETD n’ont théoriquement pas à qui rendre des comptes. En termes d’ETD, le Haut-Katanga en compte 34 dont 13 perçoivent déjà les paiements</w:t>
      </w:r>
      <w:r w:rsidR="00D66CCC" w:rsidRPr="006706F3">
        <w:rPr>
          <w:rFonts w:ascii="Tahoma" w:eastAsia="Times New Roman" w:hAnsi="Tahoma" w:cs="Tahoma"/>
          <w:sz w:val="24"/>
          <w:szCs w:val="24"/>
        </w:rPr>
        <w:t xml:space="preserve">, indique un rapport de </w:t>
      </w:r>
      <w:proofErr w:type="spellStart"/>
      <w:r w:rsidR="00D66CCC" w:rsidRPr="006706F3">
        <w:rPr>
          <w:rFonts w:ascii="Tahoma" w:eastAsia="Times New Roman" w:hAnsi="Tahoma" w:cs="Tahoma"/>
          <w:sz w:val="24"/>
          <w:szCs w:val="24"/>
        </w:rPr>
        <w:t>l’Ong</w:t>
      </w:r>
      <w:proofErr w:type="spellEnd"/>
      <w:r w:rsidR="00D66CCC" w:rsidRPr="006706F3">
        <w:rPr>
          <w:rFonts w:ascii="Tahoma" w:eastAsia="Times New Roman" w:hAnsi="Tahoma" w:cs="Tahoma"/>
          <w:sz w:val="24"/>
          <w:szCs w:val="24"/>
        </w:rPr>
        <w:t xml:space="preserve"> </w:t>
      </w:r>
      <w:proofErr w:type="spellStart"/>
      <w:r w:rsidR="00D66CCC" w:rsidRPr="006706F3">
        <w:rPr>
          <w:rFonts w:ascii="Tahoma" w:eastAsia="Times New Roman" w:hAnsi="Tahoma" w:cs="Tahoma"/>
          <w:sz w:val="24"/>
          <w:szCs w:val="24"/>
        </w:rPr>
        <w:t>Cordaid</w:t>
      </w:r>
      <w:proofErr w:type="spellEnd"/>
      <w:r w:rsidR="00D66CCC" w:rsidRPr="006706F3">
        <w:rPr>
          <w:rFonts w:ascii="Tahoma" w:eastAsia="Times New Roman" w:hAnsi="Tahoma" w:cs="Tahoma"/>
          <w:sz w:val="24"/>
          <w:szCs w:val="24"/>
        </w:rPr>
        <w:t xml:space="preserve"> (juin 2020).</w:t>
      </w:r>
    </w:p>
    <w:p w14:paraId="1F3B3AE3" w14:textId="77777777" w:rsidR="008B5B04" w:rsidRPr="006706F3" w:rsidRDefault="008B5B04" w:rsidP="00F35D7D">
      <w:pPr>
        <w:pStyle w:val="Heading2"/>
        <w:keepNext w:val="0"/>
        <w:keepLines w:val="0"/>
        <w:shd w:val="clear" w:color="auto" w:fill="FFFFFF"/>
        <w:spacing w:before="0" w:after="160" w:line="240" w:lineRule="auto"/>
        <w:jc w:val="both"/>
        <w:rPr>
          <w:rFonts w:ascii="Tahoma" w:eastAsia="Times New Roman" w:hAnsi="Tahoma" w:cs="Tahoma"/>
          <w:sz w:val="24"/>
          <w:szCs w:val="24"/>
        </w:rPr>
      </w:pPr>
      <w:r w:rsidRPr="006706F3">
        <w:rPr>
          <w:rFonts w:ascii="Tahoma" w:eastAsia="Times New Roman" w:hAnsi="Tahoma" w:cs="Tahoma"/>
          <w:sz w:val="24"/>
          <w:szCs w:val="24"/>
        </w:rPr>
        <w:t>Il s’agit des</w:t>
      </w:r>
      <w:r w:rsidRPr="006706F3">
        <w:rPr>
          <w:rFonts w:ascii="Tahoma" w:hAnsi="Tahoma" w:cs="Tahoma"/>
          <w:sz w:val="24"/>
          <w:szCs w:val="24"/>
        </w:rPr>
        <w:t xml:space="preserve"> communes de Lubumbashi, Annexe, Kampemba et </w:t>
      </w:r>
      <w:proofErr w:type="spellStart"/>
      <w:r w:rsidRPr="006706F3">
        <w:rPr>
          <w:rFonts w:ascii="Tahoma" w:hAnsi="Tahoma" w:cs="Tahoma"/>
          <w:sz w:val="24"/>
          <w:szCs w:val="24"/>
        </w:rPr>
        <w:t>Ruashi</w:t>
      </w:r>
      <w:proofErr w:type="spellEnd"/>
      <w:r w:rsidRPr="006706F3">
        <w:rPr>
          <w:rFonts w:ascii="Tahoma" w:hAnsi="Tahoma" w:cs="Tahoma"/>
          <w:sz w:val="24"/>
          <w:szCs w:val="24"/>
        </w:rPr>
        <w:t xml:space="preserve"> (Ville de Lubumbashi), des communes de </w:t>
      </w:r>
      <w:proofErr w:type="spellStart"/>
      <w:r w:rsidRPr="006706F3">
        <w:rPr>
          <w:rFonts w:ascii="Tahoma" w:hAnsi="Tahoma" w:cs="Tahoma"/>
          <w:sz w:val="24"/>
          <w:szCs w:val="24"/>
        </w:rPr>
        <w:t>Shituru</w:t>
      </w:r>
      <w:proofErr w:type="spellEnd"/>
      <w:r w:rsidRPr="006706F3">
        <w:rPr>
          <w:rFonts w:ascii="Tahoma" w:hAnsi="Tahoma" w:cs="Tahoma"/>
          <w:sz w:val="24"/>
          <w:szCs w:val="24"/>
        </w:rPr>
        <w:t xml:space="preserve"> et Panda (Ville de Likasi) ainsi que des chefferies de </w:t>
      </w:r>
      <w:proofErr w:type="spellStart"/>
      <w:r w:rsidRPr="006706F3">
        <w:rPr>
          <w:rFonts w:ascii="Tahoma" w:hAnsi="Tahoma" w:cs="Tahoma"/>
          <w:sz w:val="24"/>
          <w:szCs w:val="24"/>
        </w:rPr>
        <w:t>Kaponda</w:t>
      </w:r>
      <w:proofErr w:type="spellEnd"/>
      <w:r w:rsidRPr="006706F3">
        <w:rPr>
          <w:rFonts w:ascii="Tahoma" w:hAnsi="Tahoma" w:cs="Tahoma"/>
          <w:sz w:val="24"/>
          <w:szCs w:val="24"/>
        </w:rPr>
        <w:t xml:space="preserve"> (territoire de Kipushi), de </w:t>
      </w:r>
      <w:proofErr w:type="spellStart"/>
      <w:r w:rsidRPr="006706F3">
        <w:rPr>
          <w:rFonts w:ascii="Tahoma" w:hAnsi="Tahoma" w:cs="Tahoma"/>
          <w:sz w:val="24"/>
          <w:szCs w:val="24"/>
        </w:rPr>
        <w:t>Kiona</w:t>
      </w:r>
      <w:proofErr w:type="spellEnd"/>
      <w:r w:rsidRPr="006706F3">
        <w:rPr>
          <w:rFonts w:ascii="Tahoma" w:hAnsi="Tahoma" w:cs="Tahoma"/>
          <w:sz w:val="24"/>
          <w:szCs w:val="24"/>
        </w:rPr>
        <w:t xml:space="preserve"> </w:t>
      </w:r>
      <w:proofErr w:type="spellStart"/>
      <w:r w:rsidRPr="006706F3">
        <w:rPr>
          <w:rFonts w:ascii="Tahoma" w:hAnsi="Tahoma" w:cs="Tahoma"/>
          <w:sz w:val="24"/>
          <w:szCs w:val="24"/>
        </w:rPr>
        <w:t>Ngoy</w:t>
      </w:r>
      <w:proofErr w:type="spellEnd"/>
      <w:r w:rsidRPr="006706F3">
        <w:rPr>
          <w:rFonts w:ascii="Tahoma" w:hAnsi="Tahoma" w:cs="Tahoma"/>
          <w:sz w:val="24"/>
          <w:szCs w:val="24"/>
        </w:rPr>
        <w:t xml:space="preserve"> (territoire de </w:t>
      </w:r>
      <w:proofErr w:type="spellStart"/>
      <w:r w:rsidRPr="006706F3">
        <w:rPr>
          <w:rFonts w:ascii="Tahoma" w:hAnsi="Tahoma" w:cs="Tahoma"/>
          <w:sz w:val="24"/>
          <w:szCs w:val="24"/>
        </w:rPr>
        <w:t>Mitwaba</w:t>
      </w:r>
      <w:proofErr w:type="spellEnd"/>
      <w:r w:rsidRPr="006706F3">
        <w:rPr>
          <w:rFonts w:ascii="Tahoma" w:hAnsi="Tahoma" w:cs="Tahoma"/>
          <w:sz w:val="24"/>
          <w:szCs w:val="24"/>
        </w:rPr>
        <w:t xml:space="preserve">) et de </w:t>
      </w:r>
      <w:proofErr w:type="spellStart"/>
      <w:r w:rsidRPr="006706F3">
        <w:rPr>
          <w:rFonts w:ascii="Tahoma" w:hAnsi="Tahoma" w:cs="Tahoma"/>
          <w:sz w:val="24"/>
          <w:szCs w:val="24"/>
        </w:rPr>
        <w:t>Pweto</w:t>
      </w:r>
      <w:proofErr w:type="spellEnd"/>
      <w:r w:rsidRPr="006706F3">
        <w:rPr>
          <w:rFonts w:ascii="Tahoma" w:hAnsi="Tahoma" w:cs="Tahoma"/>
          <w:sz w:val="24"/>
          <w:szCs w:val="24"/>
        </w:rPr>
        <w:t xml:space="preserve"> (territoire de </w:t>
      </w:r>
      <w:proofErr w:type="spellStart"/>
      <w:r w:rsidRPr="006706F3">
        <w:rPr>
          <w:rFonts w:ascii="Tahoma" w:hAnsi="Tahoma" w:cs="Tahoma"/>
          <w:sz w:val="24"/>
          <w:szCs w:val="24"/>
        </w:rPr>
        <w:t>Pweto</w:t>
      </w:r>
      <w:proofErr w:type="spellEnd"/>
      <w:r w:rsidRPr="006706F3">
        <w:rPr>
          <w:rFonts w:ascii="Tahoma" w:hAnsi="Tahoma" w:cs="Tahoma"/>
          <w:sz w:val="24"/>
          <w:szCs w:val="24"/>
        </w:rPr>
        <w:t xml:space="preserve">), de même que les secteurs de </w:t>
      </w:r>
      <w:proofErr w:type="spellStart"/>
      <w:r w:rsidRPr="006706F3">
        <w:rPr>
          <w:rFonts w:ascii="Tahoma" w:hAnsi="Tahoma" w:cs="Tahoma"/>
          <w:sz w:val="24"/>
          <w:szCs w:val="24"/>
        </w:rPr>
        <w:t>Lufira</w:t>
      </w:r>
      <w:proofErr w:type="spellEnd"/>
      <w:r w:rsidRPr="006706F3">
        <w:rPr>
          <w:rFonts w:ascii="Tahoma" w:hAnsi="Tahoma" w:cs="Tahoma"/>
          <w:sz w:val="24"/>
          <w:szCs w:val="24"/>
        </w:rPr>
        <w:t xml:space="preserve"> (territoire de Kambove), de </w:t>
      </w:r>
      <w:proofErr w:type="spellStart"/>
      <w:r w:rsidRPr="006706F3">
        <w:rPr>
          <w:rFonts w:ascii="Tahoma" w:hAnsi="Tahoma" w:cs="Tahoma"/>
          <w:sz w:val="24"/>
          <w:szCs w:val="24"/>
        </w:rPr>
        <w:t>Bukanda</w:t>
      </w:r>
      <w:proofErr w:type="spellEnd"/>
      <w:r w:rsidRPr="006706F3">
        <w:rPr>
          <w:rFonts w:ascii="Tahoma" w:hAnsi="Tahoma" w:cs="Tahoma"/>
          <w:sz w:val="24"/>
          <w:szCs w:val="24"/>
        </w:rPr>
        <w:t xml:space="preserve"> (territoire de Kipushi)</w:t>
      </w:r>
      <w:r w:rsidR="00DA0F1A" w:rsidRPr="006706F3">
        <w:rPr>
          <w:rFonts w:ascii="Tahoma" w:hAnsi="Tahoma" w:cs="Tahoma"/>
          <w:sz w:val="24"/>
          <w:szCs w:val="24"/>
        </w:rPr>
        <w:t xml:space="preserve">, de </w:t>
      </w:r>
      <w:proofErr w:type="spellStart"/>
      <w:r w:rsidR="00DA0F1A" w:rsidRPr="006706F3">
        <w:rPr>
          <w:rFonts w:ascii="Tahoma" w:hAnsi="Tahoma" w:cs="Tahoma"/>
          <w:sz w:val="24"/>
          <w:szCs w:val="24"/>
        </w:rPr>
        <w:t>Balamba</w:t>
      </w:r>
      <w:proofErr w:type="spellEnd"/>
      <w:r w:rsidR="00DA0F1A" w:rsidRPr="006706F3">
        <w:rPr>
          <w:rFonts w:ascii="Tahoma" w:hAnsi="Tahoma" w:cs="Tahoma"/>
          <w:sz w:val="24"/>
          <w:szCs w:val="24"/>
        </w:rPr>
        <w:t xml:space="preserve"> (territoire de </w:t>
      </w:r>
      <w:proofErr w:type="spellStart"/>
      <w:r w:rsidR="00DA0F1A" w:rsidRPr="006706F3">
        <w:rPr>
          <w:rFonts w:ascii="Tahoma" w:hAnsi="Tahoma" w:cs="Tahoma"/>
          <w:sz w:val="24"/>
          <w:szCs w:val="24"/>
        </w:rPr>
        <w:t>Sakani</w:t>
      </w:r>
      <w:r w:rsidRPr="006706F3">
        <w:rPr>
          <w:rFonts w:ascii="Tahoma" w:hAnsi="Tahoma" w:cs="Tahoma"/>
          <w:sz w:val="24"/>
          <w:szCs w:val="24"/>
        </w:rPr>
        <w:t>a</w:t>
      </w:r>
      <w:proofErr w:type="spellEnd"/>
      <w:r w:rsidRPr="006706F3">
        <w:rPr>
          <w:rFonts w:ascii="Tahoma" w:hAnsi="Tahoma" w:cs="Tahoma"/>
          <w:sz w:val="24"/>
          <w:szCs w:val="24"/>
        </w:rPr>
        <w:t xml:space="preserve">) et de </w:t>
      </w:r>
      <w:proofErr w:type="spellStart"/>
      <w:r w:rsidR="00DA0F1A" w:rsidRPr="006706F3">
        <w:rPr>
          <w:rFonts w:ascii="Tahoma" w:hAnsi="Tahoma" w:cs="Tahoma"/>
          <w:sz w:val="24"/>
          <w:szCs w:val="24"/>
        </w:rPr>
        <w:t>Basanga</w:t>
      </w:r>
      <w:proofErr w:type="spellEnd"/>
      <w:r w:rsidR="00DA0F1A" w:rsidRPr="006706F3">
        <w:rPr>
          <w:rFonts w:ascii="Tahoma" w:hAnsi="Tahoma" w:cs="Tahoma"/>
          <w:sz w:val="24"/>
          <w:szCs w:val="24"/>
        </w:rPr>
        <w:t xml:space="preserve"> (territoire de Kambove).</w:t>
      </w:r>
    </w:p>
    <w:p w14:paraId="3E4ED8C7" w14:textId="77777777" w:rsidR="00FD0B63" w:rsidRPr="006706F3" w:rsidRDefault="00D66CCC" w:rsidP="00F35D7D">
      <w:pPr>
        <w:pStyle w:val="Heading2"/>
        <w:keepNext w:val="0"/>
        <w:keepLines w:val="0"/>
        <w:shd w:val="clear" w:color="auto" w:fill="FFFFFF"/>
        <w:spacing w:before="0" w:after="160" w:line="240" w:lineRule="auto"/>
        <w:jc w:val="both"/>
        <w:rPr>
          <w:rFonts w:ascii="Tahoma" w:eastAsia="Times New Roman" w:hAnsi="Tahoma" w:cs="Tahoma"/>
          <w:sz w:val="24"/>
          <w:szCs w:val="24"/>
        </w:rPr>
      </w:pPr>
      <w:r w:rsidRPr="006706F3">
        <w:rPr>
          <w:rFonts w:ascii="Tahoma" w:eastAsia="Times New Roman" w:hAnsi="Tahoma" w:cs="Tahoma"/>
          <w:sz w:val="24"/>
          <w:szCs w:val="24"/>
        </w:rPr>
        <w:t xml:space="preserve">Ce rapport </w:t>
      </w:r>
      <w:r w:rsidR="00B777B4" w:rsidRPr="006706F3">
        <w:rPr>
          <w:rFonts w:ascii="Tahoma" w:eastAsia="Times New Roman" w:hAnsi="Tahoma" w:cs="Tahoma"/>
          <w:sz w:val="24"/>
          <w:szCs w:val="24"/>
        </w:rPr>
        <w:t xml:space="preserve">identifie également les entités bénéficiaires de cette redevance dans le Lualaba. Ce sont essentiellement le Secteur de </w:t>
      </w:r>
      <w:proofErr w:type="spellStart"/>
      <w:r w:rsidR="00B777B4" w:rsidRPr="006706F3">
        <w:rPr>
          <w:rFonts w:ascii="Tahoma" w:eastAsia="Times New Roman" w:hAnsi="Tahoma" w:cs="Tahoma"/>
          <w:sz w:val="24"/>
          <w:szCs w:val="24"/>
        </w:rPr>
        <w:t>Luilu</w:t>
      </w:r>
      <w:proofErr w:type="spellEnd"/>
      <w:r w:rsidR="00B777B4" w:rsidRPr="006706F3">
        <w:rPr>
          <w:rFonts w:ascii="Tahoma" w:eastAsia="Times New Roman" w:hAnsi="Tahoma" w:cs="Tahoma"/>
          <w:sz w:val="24"/>
          <w:szCs w:val="24"/>
        </w:rPr>
        <w:t xml:space="preserve"> dans le territoire de </w:t>
      </w:r>
      <w:proofErr w:type="spellStart"/>
      <w:r w:rsidR="00B777B4" w:rsidRPr="006706F3">
        <w:rPr>
          <w:rFonts w:ascii="Tahoma" w:eastAsia="Times New Roman" w:hAnsi="Tahoma" w:cs="Tahoma"/>
          <w:sz w:val="24"/>
          <w:szCs w:val="24"/>
        </w:rPr>
        <w:t>Mutshatsha</w:t>
      </w:r>
      <w:proofErr w:type="spellEnd"/>
      <w:r w:rsidR="00B777B4" w:rsidRPr="006706F3">
        <w:rPr>
          <w:rFonts w:ascii="Tahoma" w:eastAsia="Times New Roman" w:hAnsi="Tahoma" w:cs="Tahoma"/>
          <w:sz w:val="24"/>
          <w:szCs w:val="24"/>
        </w:rPr>
        <w:t xml:space="preserve">, la Chefferie de </w:t>
      </w:r>
      <w:proofErr w:type="spellStart"/>
      <w:r w:rsidR="00B777B4" w:rsidRPr="006706F3">
        <w:rPr>
          <w:rFonts w:ascii="Tahoma" w:eastAsia="Times New Roman" w:hAnsi="Tahoma" w:cs="Tahoma"/>
          <w:sz w:val="24"/>
          <w:szCs w:val="24"/>
        </w:rPr>
        <w:t>Bayeke</w:t>
      </w:r>
      <w:proofErr w:type="spellEnd"/>
      <w:r w:rsidR="00B777B4" w:rsidRPr="006706F3">
        <w:rPr>
          <w:rFonts w:ascii="Tahoma" w:eastAsia="Times New Roman" w:hAnsi="Tahoma" w:cs="Tahoma"/>
          <w:sz w:val="24"/>
          <w:szCs w:val="24"/>
        </w:rPr>
        <w:t xml:space="preserve"> dans le territoire de </w:t>
      </w:r>
      <w:proofErr w:type="spellStart"/>
      <w:r w:rsidR="00B777B4" w:rsidRPr="006706F3">
        <w:rPr>
          <w:rFonts w:ascii="Tahoma" w:eastAsia="Times New Roman" w:hAnsi="Tahoma" w:cs="Tahoma"/>
          <w:sz w:val="24"/>
          <w:szCs w:val="24"/>
        </w:rPr>
        <w:t>Lubudi</w:t>
      </w:r>
      <w:proofErr w:type="spellEnd"/>
      <w:r w:rsidR="00B777B4" w:rsidRPr="006706F3">
        <w:rPr>
          <w:rFonts w:ascii="Tahoma" w:eastAsia="Times New Roman" w:hAnsi="Tahoma" w:cs="Tahoma"/>
          <w:sz w:val="24"/>
          <w:szCs w:val="24"/>
        </w:rPr>
        <w:t xml:space="preserve">, la Commune de </w:t>
      </w:r>
      <w:proofErr w:type="spellStart"/>
      <w:r w:rsidR="00B777B4" w:rsidRPr="006706F3">
        <w:rPr>
          <w:rFonts w:ascii="Tahoma" w:eastAsia="Times New Roman" w:hAnsi="Tahoma" w:cs="Tahoma"/>
          <w:sz w:val="24"/>
          <w:szCs w:val="24"/>
        </w:rPr>
        <w:t>Dilala</w:t>
      </w:r>
      <w:proofErr w:type="spellEnd"/>
      <w:r w:rsidR="00B777B4" w:rsidRPr="006706F3">
        <w:rPr>
          <w:rFonts w:ascii="Tahoma" w:eastAsia="Times New Roman" w:hAnsi="Tahoma" w:cs="Tahoma"/>
          <w:sz w:val="24"/>
          <w:szCs w:val="24"/>
        </w:rPr>
        <w:t xml:space="preserve"> à Kolwezi et la Commune de </w:t>
      </w:r>
      <w:proofErr w:type="spellStart"/>
      <w:r w:rsidR="00B777B4" w:rsidRPr="006706F3">
        <w:rPr>
          <w:rFonts w:ascii="Tahoma" w:eastAsia="Times New Roman" w:hAnsi="Tahoma" w:cs="Tahoma"/>
          <w:sz w:val="24"/>
          <w:szCs w:val="24"/>
        </w:rPr>
        <w:t>Fungurume</w:t>
      </w:r>
      <w:proofErr w:type="spellEnd"/>
      <w:r w:rsidR="00B777B4" w:rsidRPr="006706F3">
        <w:rPr>
          <w:rFonts w:ascii="Tahoma" w:eastAsia="Times New Roman" w:hAnsi="Tahoma" w:cs="Tahoma"/>
          <w:sz w:val="24"/>
          <w:szCs w:val="24"/>
        </w:rPr>
        <w:t xml:space="preserve"> en territoire de </w:t>
      </w:r>
      <w:proofErr w:type="spellStart"/>
      <w:r w:rsidR="00B777B4" w:rsidRPr="006706F3">
        <w:rPr>
          <w:rFonts w:ascii="Tahoma" w:eastAsia="Times New Roman" w:hAnsi="Tahoma" w:cs="Tahoma"/>
          <w:sz w:val="24"/>
          <w:szCs w:val="24"/>
        </w:rPr>
        <w:t>Lubudi</w:t>
      </w:r>
      <w:proofErr w:type="spellEnd"/>
      <w:r w:rsidR="00B777B4" w:rsidRPr="006706F3">
        <w:rPr>
          <w:rFonts w:ascii="Tahoma" w:eastAsia="Times New Roman" w:hAnsi="Tahoma" w:cs="Tahoma"/>
          <w:sz w:val="24"/>
          <w:szCs w:val="24"/>
        </w:rPr>
        <w:t>.</w:t>
      </w:r>
    </w:p>
    <w:p w14:paraId="71DF1A9D" w14:textId="63E5A400" w:rsidR="00FD0B63" w:rsidRPr="006706F3" w:rsidRDefault="00EE395C" w:rsidP="00F35D7D">
      <w:pPr>
        <w:pStyle w:val="Heading2"/>
        <w:keepNext w:val="0"/>
        <w:keepLines w:val="0"/>
        <w:shd w:val="clear" w:color="auto" w:fill="FFFFFF"/>
        <w:spacing w:before="0" w:after="160" w:line="240" w:lineRule="auto"/>
        <w:jc w:val="both"/>
        <w:rPr>
          <w:rFonts w:ascii="Tahoma" w:hAnsi="Tahoma" w:cs="Tahoma"/>
          <w:sz w:val="24"/>
          <w:szCs w:val="24"/>
        </w:rPr>
      </w:pPr>
      <w:r w:rsidRPr="006706F3">
        <w:rPr>
          <w:rFonts w:ascii="Tahoma" w:hAnsi="Tahoma" w:cs="Tahoma"/>
          <w:sz w:val="24"/>
          <w:szCs w:val="24"/>
        </w:rPr>
        <w:t xml:space="preserve">Enfin de compte, les entités territoriales décentralisées </w:t>
      </w:r>
      <w:r w:rsidR="00A0703C" w:rsidRPr="006706F3">
        <w:rPr>
          <w:rFonts w:ascii="Tahoma" w:hAnsi="Tahoma" w:cs="Tahoma"/>
          <w:sz w:val="24"/>
          <w:szCs w:val="24"/>
        </w:rPr>
        <w:t>du Haut-Katanga, autant que celles du Lualaba</w:t>
      </w:r>
      <w:r w:rsidR="00FD0B63" w:rsidRPr="006706F3">
        <w:rPr>
          <w:rFonts w:ascii="Tahoma" w:hAnsi="Tahoma" w:cs="Tahoma"/>
          <w:sz w:val="24"/>
          <w:szCs w:val="24"/>
        </w:rPr>
        <w:t>,</w:t>
      </w:r>
      <w:r w:rsidR="004A061C" w:rsidRPr="006706F3">
        <w:rPr>
          <w:rFonts w:ascii="Tahoma" w:hAnsi="Tahoma" w:cs="Tahoma"/>
          <w:sz w:val="24"/>
          <w:szCs w:val="24"/>
        </w:rPr>
        <w:t xml:space="preserve"> ne devraient pas se plaindre </w:t>
      </w:r>
      <w:r w:rsidR="00FD0B63" w:rsidRPr="006706F3">
        <w:rPr>
          <w:rFonts w:ascii="Tahoma" w:hAnsi="Tahoma" w:cs="Tahoma"/>
          <w:sz w:val="24"/>
          <w:szCs w:val="24"/>
        </w:rPr>
        <w:t xml:space="preserve">de </w:t>
      </w:r>
      <w:r w:rsidR="004A061C" w:rsidRPr="006706F3">
        <w:rPr>
          <w:rFonts w:ascii="Tahoma" w:hAnsi="Tahoma" w:cs="Tahoma"/>
          <w:sz w:val="24"/>
          <w:szCs w:val="24"/>
        </w:rPr>
        <w:t>n’avoir pas assez d’a</w:t>
      </w:r>
      <w:r w:rsidR="00FD0B63" w:rsidRPr="006706F3">
        <w:rPr>
          <w:rFonts w:ascii="Tahoma" w:hAnsi="Tahoma" w:cs="Tahoma"/>
          <w:sz w:val="24"/>
          <w:szCs w:val="24"/>
        </w:rPr>
        <w:t xml:space="preserve">rgent pour leur fonctionnement et leur développement progressif. C’est la gestion qui est déplorable. </w:t>
      </w:r>
      <w:r w:rsidR="0019722E" w:rsidRPr="006706F3">
        <w:rPr>
          <w:rFonts w:ascii="Tahoma" w:hAnsi="Tahoma" w:cs="Tahoma"/>
          <w:sz w:val="24"/>
          <w:szCs w:val="24"/>
        </w:rPr>
        <w:t>Et même s’il semblerait que</w:t>
      </w:r>
      <w:r w:rsidR="005E5A82" w:rsidRPr="006706F3">
        <w:rPr>
          <w:rFonts w:ascii="Tahoma" w:hAnsi="Tahoma" w:cs="Tahoma"/>
          <w:sz w:val="24"/>
          <w:szCs w:val="24"/>
        </w:rPr>
        <w:t xml:space="preserve"> les entreprises ne payent pas toujours tout ce qu’elles devraient, </w:t>
      </w:r>
      <w:r w:rsidR="00186CAD" w:rsidRPr="006706F3">
        <w:rPr>
          <w:rFonts w:ascii="Tahoma" w:hAnsi="Tahoma" w:cs="Tahoma"/>
          <w:sz w:val="24"/>
          <w:szCs w:val="24"/>
        </w:rPr>
        <w:t>l’argent versé aux ETD devrait tout de même apporter un changement considérable</w:t>
      </w:r>
      <w:r w:rsidR="00A312D0" w:rsidRPr="006706F3">
        <w:rPr>
          <w:rFonts w:ascii="Tahoma" w:hAnsi="Tahoma" w:cs="Tahoma"/>
          <w:sz w:val="24"/>
          <w:szCs w:val="24"/>
        </w:rPr>
        <w:t xml:space="preserve"> notamment dans les secteurs éducatif, de la santé ou encore de l’eau.</w:t>
      </w:r>
    </w:p>
    <w:p w14:paraId="4320560B" w14:textId="7416C825" w:rsidR="00F35D7D" w:rsidRDefault="00F35D7D" w:rsidP="00F35D7D">
      <w:pPr>
        <w:pStyle w:val="Normal1"/>
        <w:spacing w:line="240" w:lineRule="auto"/>
        <w:jc w:val="both"/>
        <w:rPr>
          <w:rFonts w:ascii="Tahoma" w:eastAsia="Times New Roman" w:hAnsi="Tahoma" w:cs="Tahoma"/>
          <w:sz w:val="24"/>
          <w:szCs w:val="24"/>
        </w:rPr>
      </w:pPr>
      <w:r w:rsidRPr="00F35D7D">
        <w:rPr>
          <w:rFonts w:ascii="Tahoma" w:hAnsi="Tahoma" w:cs="Tahoma"/>
          <w:sz w:val="24"/>
          <w:szCs w:val="24"/>
        </w:rPr>
        <w:t xml:space="preserve">© </w:t>
      </w:r>
      <w:proofErr w:type="spellStart"/>
      <w:r w:rsidRPr="00F35D7D">
        <w:rPr>
          <w:rFonts w:ascii="Tahoma" w:hAnsi="Tahoma" w:cs="Tahoma"/>
          <w:sz w:val="24"/>
          <w:szCs w:val="24"/>
        </w:rPr>
        <w:t>CongoForum</w:t>
      </w:r>
      <w:proofErr w:type="spellEnd"/>
      <w:r w:rsidRPr="00F35D7D">
        <w:rPr>
          <w:rFonts w:ascii="Tahoma" w:hAnsi="Tahoma" w:cs="Tahoma"/>
          <w:sz w:val="24"/>
          <w:szCs w:val="24"/>
        </w:rPr>
        <w:t xml:space="preserve"> – </w:t>
      </w:r>
      <w:r w:rsidRPr="00F35D7D">
        <w:rPr>
          <w:rFonts w:ascii="Tahoma" w:eastAsia="Times New Roman" w:hAnsi="Tahoma" w:cs="Tahoma"/>
          <w:sz w:val="24"/>
          <w:szCs w:val="24"/>
        </w:rPr>
        <w:t xml:space="preserve">Didier Makal et Fidèle </w:t>
      </w:r>
      <w:proofErr w:type="spellStart"/>
      <w:r w:rsidRPr="00F35D7D">
        <w:rPr>
          <w:rFonts w:ascii="Tahoma" w:eastAsia="Times New Roman" w:hAnsi="Tahoma" w:cs="Tahoma"/>
          <w:sz w:val="24"/>
          <w:szCs w:val="24"/>
        </w:rPr>
        <w:t>Bwirhonde</w:t>
      </w:r>
      <w:proofErr w:type="spellEnd"/>
      <w:r w:rsidRPr="00F35D7D">
        <w:rPr>
          <w:rFonts w:ascii="Tahoma" w:eastAsia="Times New Roman" w:hAnsi="Tahoma" w:cs="Tahoma"/>
          <w:sz w:val="24"/>
          <w:szCs w:val="24"/>
        </w:rPr>
        <w:t>, 14.06.21</w:t>
      </w:r>
    </w:p>
    <w:p w14:paraId="29093824" w14:textId="61BB8AED" w:rsidR="006706F3" w:rsidRDefault="006706F3" w:rsidP="00F35D7D">
      <w:pPr>
        <w:pStyle w:val="Normal1"/>
        <w:spacing w:line="240" w:lineRule="auto"/>
        <w:jc w:val="both"/>
        <w:rPr>
          <w:rFonts w:ascii="Tahoma" w:eastAsia="Times New Roman" w:hAnsi="Tahoma" w:cs="Tahoma"/>
          <w:sz w:val="24"/>
          <w:szCs w:val="24"/>
        </w:rPr>
      </w:pPr>
    </w:p>
    <w:p w14:paraId="72CD9BBB" w14:textId="2525C4F0" w:rsidR="006706F3" w:rsidRDefault="006706F3" w:rsidP="00F35D7D">
      <w:pPr>
        <w:pStyle w:val="Normal1"/>
        <w:spacing w:line="240" w:lineRule="auto"/>
        <w:jc w:val="both"/>
        <w:rPr>
          <w:rFonts w:ascii="Tahoma" w:eastAsia="Times New Roman" w:hAnsi="Tahoma" w:cs="Tahoma"/>
          <w:sz w:val="24"/>
          <w:szCs w:val="24"/>
        </w:rPr>
      </w:pPr>
      <w:r>
        <w:rPr>
          <w:rFonts w:ascii="Tahoma" w:eastAsia="Times New Roman" w:hAnsi="Tahoma" w:cs="Tahoma"/>
          <w:sz w:val="24"/>
          <w:szCs w:val="24"/>
        </w:rPr>
        <w:t>Image – source : Zoom-Eco</w:t>
      </w:r>
    </w:p>
    <w:bookmarkEnd w:id="0"/>
    <w:p w14:paraId="3500DFCA" w14:textId="77777777" w:rsidR="006706F3" w:rsidRPr="00F35D7D" w:rsidRDefault="006706F3" w:rsidP="00F35D7D">
      <w:pPr>
        <w:pStyle w:val="Normal1"/>
        <w:spacing w:line="240" w:lineRule="auto"/>
        <w:jc w:val="both"/>
        <w:rPr>
          <w:rFonts w:ascii="Tahoma" w:eastAsia="Times New Roman" w:hAnsi="Tahoma" w:cs="Tahoma"/>
          <w:sz w:val="24"/>
          <w:szCs w:val="24"/>
        </w:rPr>
      </w:pPr>
    </w:p>
    <w:sectPr w:rsidR="006706F3" w:rsidRPr="00F35D7D" w:rsidSect="007F7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D3"/>
    <w:rsid w:val="000126F3"/>
    <w:rsid w:val="00046371"/>
    <w:rsid w:val="00054FDA"/>
    <w:rsid w:val="000838AE"/>
    <w:rsid w:val="000A0DC6"/>
    <w:rsid w:val="000C524B"/>
    <w:rsid w:val="000D35F7"/>
    <w:rsid w:val="000E4D40"/>
    <w:rsid w:val="0015002C"/>
    <w:rsid w:val="00160171"/>
    <w:rsid w:val="00186CAD"/>
    <w:rsid w:val="0019722E"/>
    <w:rsid w:val="002162FD"/>
    <w:rsid w:val="002D6F32"/>
    <w:rsid w:val="002F5E03"/>
    <w:rsid w:val="00303495"/>
    <w:rsid w:val="00336EAB"/>
    <w:rsid w:val="003818AB"/>
    <w:rsid w:val="003941AE"/>
    <w:rsid w:val="003F1CED"/>
    <w:rsid w:val="003F21A9"/>
    <w:rsid w:val="00466D9F"/>
    <w:rsid w:val="004866A3"/>
    <w:rsid w:val="00490522"/>
    <w:rsid w:val="004A061C"/>
    <w:rsid w:val="004B571E"/>
    <w:rsid w:val="00570F67"/>
    <w:rsid w:val="005741F9"/>
    <w:rsid w:val="005E5A82"/>
    <w:rsid w:val="00600696"/>
    <w:rsid w:val="00606D0A"/>
    <w:rsid w:val="00614784"/>
    <w:rsid w:val="00615857"/>
    <w:rsid w:val="00633757"/>
    <w:rsid w:val="006706F3"/>
    <w:rsid w:val="007756B3"/>
    <w:rsid w:val="007D1C11"/>
    <w:rsid w:val="007D2CEC"/>
    <w:rsid w:val="007F7FD3"/>
    <w:rsid w:val="008B5B04"/>
    <w:rsid w:val="008E4BEB"/>
    <w:rsid w:val="009007B3"/>
    <w:rsid w:val="00902846"/>
    <w:rsid w:val="009438B9"/>
    <w:rsid w:val="00A0703C"/>
    <w:rsid w:val="00A312D0"/>
    <w:rsid w:val="00A31FAA"/>
    <w:rsid w:val="00A6312A"/>
    <w:rsid w:val="00B25B68"/>
    <w:rsid w:val="00B61EEB"/>
    <w:rsid w:val="00B67994"/>
    <w:rsid w:val="00B777B4"/>
    <w:rsid w:val="00BC7A28"/>
    <w:rsid w:val="00BF1F27"/>
    <w:rsid w:val="00C220B8"/>
    <w:rsid w:val="00C353B8"/>
    <w:rsid w:val="00C51857"/>
    <w:rsid w:val="00C7627C"/>
    <w:rsid w:val="00CA1CE7"/>
    <w:rsid w:val="00D24697"/>
    <w:rsid w:val="00D46F27"/>
    <w:rsid w:val="00D66CCC"/>
    <w:rsid w:val="00DA0F1A"/>
    <w:rsid w:val="00DB3D33"/>
    <w:rsid w:val="00DE2D33"/>
    <w:rsid w:val="00E0125E"/>
    <w:rsid w:val="00E324AB"/>
    <w:rsid w:val="00E41165"/>
    <w:rsid w:val="00EA6CE5"/>
    <w:rsid w:val="00EB32FA"/>
    <w:rsid w:val="00ED0A3C"/>
    <w:rsid w:val="00EE395C"/>
    <w:rsid w:val="00F203EE"/>
    <w:rsid w:val="00F32668"/>
    <w:rsid w:val="00F34A79"/>
    <w:rsid w:val="00F35D7D"/>
    <w:rsid w:val="00F4508B"/>
    <w:rsid w:val="00FC2332"/>
    <w:rsid w:val="00FD0B63"/>
    <w:rsid w:val="00FF0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DAE5"/>
  <w15:docId w15:val="{656655C5-7998-480E-BEA5-130403DB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FDA"/>
  </w:style>
  <w:style w:type="paragraph" w:styleId="Heading1">
    <w:name w:val="heading 1"/>
    <w:basedOn w:val="Normal1"/>
    <w:next w:val="Normal1"/>
    <w:rsid w:val="007F7FD3"/>
    <w:pPr>
      <w:keepNext/>
      <w:keepLines/>
      <w:spacing w:before="400" w:after="120"/>
      <w:outlineLvl w:val="0"/>
    </w:pPr>
    <w:rPr>
      <w:sz w:val="40"/>
      <w:szCs w:val="40"/>
    </w:rPr>
  </w:style>
  <w:style w:type="paragraph" w:styleId="Heading2">
    <w:name w:val="heading 2"/>
    <w:basedOn w:val="Normal1"/>
    <w:next w:val="Normal1"/>
    <w:rsid w:val="007F7FD3"/>
    <w:pPr>
      <w:keepNext/>
      <w:keepLines/>
      <w:spacing w:before="360" w:after="120"/>
      <w:outlineLvl w:val="1"/>
    </w:pPr>
    <w:rPr>
      <w:sz w:val="32"/>
      <w:szCs w:val="32"/>
    </w:rPr>
  </w:style>
  <w:style w:type="paragraph" w:styleId="Heading3">
    <w:name w:val="heading 3"/>
    <w:basedOn w:val="Normal1"/>
    <w:next w:val="Normal1"/>
    <w:rsid w:val="007F7FD3"/>
    <w:pPr>
      <w:keepNext/>
      <w:keepLines/>
      <w:spacing w:before="320" w:after="80"/>
      <w:outlineLvl w:val="2"/>
    </w:pPr>
    <w:rPr>
      <w:color w:val="434343"/>
      <w:sz w:val="28"/>
      <w:szCs w:val="28"/>
    </w:rPr>
  </w:style>
  <w:style w:type="paragraph" w:styleId="Heading4">
    <w:name w:val="heading 4"/>
    <w:basedOn w:val="Normal1"/>
    <w:next w:val="Normal1"/>
    <w:rsid w:val="007F7FD3"/>
    <w:pPr>
      <w:keepNext/>
      <w:keepLines/>
      <w:spacing w:before="280" w:after="80"/>
      <w:outlineLvl w:val="3"/>
    </w:pPr>
    <w:rPr>
      <w:color w:val="666666"/>
      <w:sz w:val="24"/>
      <w:szCs w:val="24"/>
    </w:rPr>
  </w:style>
  <w:style w:type="paragraph" w:styleId="Heading5">
    <w:name w:val="heading 5"/>
    <w:basedOn w:val="Normal1"/>
    <w:next w:val="Normal1"/>
    <w:rsid w:val="007F7FD3"/>
    <w:pPr>
      <w:keepNext/>
      <w:keepLines/>
      <w:spacing w:before="240" w:after="80"/>
      <w:outlineLvl w:val="4"/>
    </w:pPr>
    <w:rPr>
      <w:color w:val="666666"/>
    </w:rPr>
  </w:style>
  <w:style w:type="paragraph" w:styleId="Heading6">
    <w:name w:val="heading 6"/>
    <w:basedOn w:val="Normal1"/>
    <w:next w:val="Normal1"/>
    <w:rsid w:val="007F7FD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7FD3"/>
  </w:style>
  <w:style w:type="table" w:customStyle="1" w:styleId="TableNormal1">
    <w:name w:val="Table Normal1"/>
    <w:rsid w:val="007F7FD3"/>
    <w:tblPr>
      <w:tblCellMar>
        <w:top w:w="0" w:type="dxa"/>
        <w:left w:w="0" w:type="dxa"/>
        <w:bottom w:w="0" w:type="dxa"/>
        <w:right w:w="0" w:type="dxa"/>
      </w:tblCellMar>
    </w:tblPr>
  </w:style>
  <w:style w:type="paragraph" w:styleId="Title">
    <w:name w:val="Title"/>
    <w:basedOn w:val="Normal1"/>
    <w:next w:val="Normal1"/>
    <w:rsid w:val="007F7FD3"/>
    <w:pPr>
      <w:keepNext/>
      <w:keepLines/>
      <w:spacing w:after="60"/>
    </w:pPr>
    <w:rPr>
      <w:sz w:val="52"/>
      <w:szCs w:val="52"/>
    </w:rPr>
  </w:style>
  <w:style w:type="paragraph" w:styleId="Subtitle">
    <w:name w:val="Subtitle"/>
    <w:basedOn w:val="Normal1"/>
    <w:next w:val="Normal1"/>
    <w:rsid w:val="007F7FD3"/>
    <w:pPr>
      <w:keepNext/>
      <w:keepLines/>
      <w:spacing w:after="320"/>
    </w:pPr>
    <w:rPr>
      <w:color w:val="666666"/>
      <w:sz w:val="30"/>
      <w:szCs w:val="30"/>
    </w:rPr>
  </w:style>
  <w:style w:type="character" w:styleId="Hyperlink">
    <w:name w:val="Hyperlink"/>
    <w:basedOn w:val="DefaultParagraphFont"/>
    <w:uiPriority w:val="99"/>
    <w:unhideWhenUsed/>
    <w:rsid w:val="000D35F7"/>
    <w:rPr>
      <w:color w:val="0000FF" w:themeColor="hyperlink"/>
      <w:u w:val="single"/>
    </w:rPr>
  </w:style>
  <w:style w:type="paragraph" w:styleId="BalloonText">
    <w:name w:val="Balloon Text"/>
    <w:basedOn w:val="Normal"/>
    <w:link w:val="BalloonTextChar"/>
    <w:uiPriority w:val="99"/>
    <w:semiHidden/>
    <w:unhideWhenUsed/>
    <w:rsid w:val="00336E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AB"/>
    <w:rPr>
      <w:rFonts w:ascii="Tahoma" w:hAnsi="Tahoma" w:cs="Tahoma"/>
      <w:sz w:val="16"/>
      <w:szCs w:val="16"/>
    </w:rPr>
  </w:style>
  <w:style w:type="character" w:styleId="FollowedHyperlink">
    <w:name w:val="FollowedHyperlink"/>
    <w:basedOn w:val="DefaultParagraphFont"/>
    <w:uiPriority w:val="99"/>
    <w:semiHidden/>
    <w:unhideWhenUsed/>
    <w:rsid w:val="002D6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gomines.org/system/attachments/assets/000/001/728/original/statistiques_4%C3%A8me_trimestre_2019.pdf?158021128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www.chemaf.com/" TargetMode="External"/><Relationship Id="rId9" Type="http://schemas.openxmlformats.org/officeDocument/2006/relationships/hyperlink" Target="https://www.congodurable.net/2019/11/02/katanga-repartition-presque-mafieuse-de-la-redevance-mini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10311</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Bouwen</dc:creator>
  <cp:lastModifiedBy>Denis Bouwen</cp:lastModifiedBy>
  <cp:revision>2</cp:revision>
  <dcterms:created xsi:type="dcterms:W3CDTF">2021-06-14T15:32:00Z</dcterms:created>
  <dcterms:modified xsi:type="dcterms:W3CDTF">2021-06-14T15:32:00Z</dcterms:modified>
</cp:coreProperties>
</file>